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f61ead89a4893" /></Relationships>
</file>

<file path=word/document.xml><?xml version="1.0" encoding="utf-8"?>
<w:document xmlns:w="http://schemas.openxmlformats.org/wordprocessingml/2006/main">
  <w:body>
    <w:p>
      <w:r>
        <w:t>S-1305.1</w:t>
      </w:r>
    </w:p>
    <w:p>
      <w:pPr>
        <w:jc w:val="center"/>
      </w:pPr>
      <w:r>
        <w:t>_______________________________________________</w:t>
      </w:r>
    </w:p>
    <w:p/>
    <w:p>
      <w:pPr>
        <w:jc w:val="center"/>
      </w:pPr>
      <w:r>
        <w:rPr>
          <w:b/>
        </w:rPr>
        <w:t>SENATE BILL 5850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Pedersen, Wilson, C., Kuderer, Hunt, Keiser, Frockt, Das, Billig, and Nguyen</w:t>
      </w:r>
    </w:p>
    <w:p/>
    <w:p>
      <w:r>
        <w:rPr>
          <w:t xml:space="preserve">Read first time 02/07/19.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and responding to bias-based criminal offenses; amending RCW 9A.36.078, 9A.36.080, 2.56.030, 9.94A.030, 9A.36.083, 9A.46.060, 43.43.830, and 48.18.553; reenacting and amending RCW 9.94A.515; and adding a new section to chapter 43.10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w:t>
      </w:r>
      <w:r>
        <w:rPr>
          <w:u w:val="single"/>
        </w:rPr>
        <w:t xml:space="preserve">, gender identity, or gender expression</w:t>
      </w:r>
      <w:r>
        <w:rPr/>
        <w:t xml:space="preserve">, sexual orientation, or mental, physical, or sensory </w:t>
      </w:r>
      <w:r>
        <w:t>((</w:t>
      </w:r>
      <w:r>
        <w:rPr>
          <w:strike/>
        </w:rPr>
        <w:t xml:space="preserve">handicaps</w:t>
      </w:r>
      <w:r>
        <w:t>))</w:t>
      </w:r>
      <w:r>
        <w:rPr/>
        <w:t xml:space="preserve"> </w:t>
      </w:r>
      <w:r>
        <w:rPr>
          <w:u w:val="single"/>
        </w:rPr>
        <w:t xml:space="preserve">disabilities</w:t>
      </w:r>
      <w:r>
        <w:rPr/>
        <w:t xml:space="preserve">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t xml:space="preserve">The legislature also finds that a hate crime committed against a victim because of the victim's gender</w:t>
      </w:r>
      <w:r>
        <w:rPr>
          <w:u w:val="single"/>
        </w:rPr>
        <w:t xml:space="preserve">, gender identity, or gender expression</w:t>
      </w:r>
      <w:r>
        <w:rPr/>
        <w:t xml:space="preserve"> may be identified in the same manner that a hate crime committed against a victim of another protected group is identified. Affirmative indications of hatred towards gender</w:t>
      </w:r>
      <w:r>
        <w:rPr>
          <w:u w:val="single"/>
        </w:rPr>
        <w:t xml:space="preserve">, gender identity, or gender expression</w:t>
      </w:r>
      <w:r>
        <w:rPr/>
        <w:t xml:space="preserve"> as a class is the predominant factor to consider. Other factors to consider include the perpetrator's use of language, slurs, or symbols expressing hatred towards the victim's gender</w:t>
      </w:r>
      <w:r>
        <w:rPr>
          <w:u w:val="single"/>
        </w:rPr>
        <w:t xml:space="preserve">, gender identity, or gender expression</w:t>
      </w:r>
      <w:r>
        <w:rPr/>
        <w:t xml:space="preserve"> as a class; the severity of the attack including mutilation of the victim's sexual organs; a history of similar attacks against victims of the same gender</w:t>
      </w:r>
      <w:r>
        <w:rPr>
          <w:u w:val="single"/>
        </w:rPr>
        <w:t xml:space="preserve">, gender identity, or gender expression</w:t>
      </w:r>
      <w:r>
        <w:rPr/>
        <w:t xml:space="preserve">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recognizes that, since 2015, Washington state has experienced a sharp increase in malicious harassment offenses, and, in response, the legislature finds that it is vital to send the message that Washington state is a hate free zone. Therefore, the legislature intends to rename the offense to its more commonly understood title of "hate crime offense" and create a multidisciplinary working group to establish recommendations for best practices for identifying and responding to hate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w:t>
      </w:r>
      <w:r>
        <w:t>((</w:t>
      </w:r>
      <w:r>
        <w:rPr>
          <w:strike/>
        </w:rPr>
        <w:t xml:space="preserve">malicious harassment</w:t>
      </w:r>
      <w:r>
        <w:t>))</w:t>
      </w:r>
      <w:r>
        <w:rPr/>
        <w:t xml:space="preserve"> </w:t>
      </w:r>
      <w:r>
        <w:rPr>
          <w:u w:val="single"/>
        </w:rPr>
        <w:t xml:space="preserve">a hate crime offense</w:t>
      </w:r>
      <w:r>
        <w:rPr/>
        <w:t xml:space="preserve"> if he or she maliciously and intentionally commits one of the following acts because of his or her perception of the victim's race, color, religion, ancestry, national origin, gender</w:t>
      </w:r>
      <w:r>
        <w:rPr>
          <w:u w:val="single"/>
        </w:rPr>
        <w:t xml:space="preserve">, gender identity, or gender expression</w:t>
      </w:r>
      <w:r>
        <w:rPr/>
        <w:t xml:space="preserve">, sexual orientation, or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w:t>
      </w:r>
      <w:r>
        <w:rPr>
          <w:u w:val="single"/>
        </w:rPr>
        <w:t xml:space="preserve">, gender identity, or gender expression</w:t>
      </w:r>
      <w:r>
        <w:rPr/>
        <w:t xml:space="preserve">, or sexual orientation, or who has the same mental, physical, or sensory </w:t>
      </w:r>
      <w:r>
        <w:t>((</w:t>
      </w:r>
      <w:r>
        <w:rPr>
          <w:strike/>
        </w:rPr>
        <w:t xml:space="preserve">handicap</w:t>
      </w:r>
      <w:r>
        <w:t>))</w:t>
      </w:r>
      <w:r>
        <w:rPr/>
        <w:t xml:space="preserve"> </w:t>
      </w:r>
      <w:r>
        <w:rPr>
          <w:u w:val="single"/>
        </w:rPr>
        <w:t xml:space="preserve">disability</w:t>
      </w:r>
      <w:r>
        <w:rPr/>
        <w:t xml:space="preserve"> as the victim. Words alone do not constitute </w:t>
      </w:r>
      <w:r>
        <w:t>((</w:t>
      </w:r>
      <w:r>
        <w:rPr>
          <w:strike/>
        </w:rPr>
        <w:t xml:space="preserve">malicious harassment</w:t>
      </w:r>
      <w:r>
        <w:t>))</w:t>
      </w:r>
      <w:r>
        <w:rPr/>
        <w:t xml:space="preserve"> </w:t>
      </w:r>
      <w:r>
        <w:rPr>
          <w:u w:val="single"/>
        </w:rPr>
        <w:t xml:space="preserve">a hate crime offense</w:t>
      </w:r>
      <w:r>
        <w:rPr/>
        <w:t xml:space="preserve"> unless the context or circumstances surrounding the words indicate the words are a threat. Threatening words do not constitute </w:t>
      </w:r>
      <w:r>
        <w:t>((</w:t>
      </w:r>
      <w:r>
        <w:rPr>
          <w:strike/>
        </w:rPr>
        <w:t xml:space="preserve">malicious harassment</w:t>
      </w:r>
      <w:r>
        <w:t>))</w:t>
      </w:r>
      <w:r>
        <w:rPr/>
        <w:t xml:space="preserve"> </w:t>
      </w:r>
      <w:r>
        <w:rPr>
          <w:u w:val="single"/>
        </w:rPr>
        <w:t xml:space="preserve">a hate crime offense</w:t>
      </w:r>
      <w:r>
        <w:rPr/>
        <w:t xml:space="preserve"> if it is apparent to the victim that the person does not have the ability to carry out the threat.</w:t>
      </w:r>
    </w:p>
    <w:p>
      <w:pPr>
        <w:spacing w:before="0" w:after="0" w:line="408" w:lineRule="exact"/>
        <w:ind w:left="0" w:right="0" w:firstLine="576"/>
        <w:jc w:val="left"/>
      </w:pPr>
      <w:r>
        <w:rPr/>
        <w:t xml:space="preserve">(2) In any prosecution for </w:t>
      </w:r>
      <w:r>
        <w:t>((</w:t>
      </w:r>
      <w:r>
        <w:rPr>
          <w:strike/>
        </w:rPr>
        <w:t xml:space="preserve">malicious harassment</w:t>
      </w:r>
      <w:r>
        <w:t>))</w:t>
      </w:r>
      <w:r>
        <w:rPr/>
        <w:t xml:space="preserve"> </w:t>
      </w:r>
      <w:r>
        <w:rPr>
          <w:u w:val="single"/>
        </w:rPr>
        <w:t xml:space="preserve">a hate crime offense</w:t>
      </w:r>
      <w:r>
        <w:rPr/>
        <w:t xml:space="preserv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w:t>
      </w:r>
      <w:r>
        <w:rPr>
          <w:u w:val="single"/>
        </w:rPr>
        <w:t xml:space="preserve">, gender identity, or gender expression</w:t>
      </w:r>
      <w:r>
        <w:rPr/>
        <w:t xml:space="preserve">, sexual orientation, or mental, physical, or sensory </w:t>
      </w:r>
      <w:r>
        <w:t>((</w:t>
      </w:r>
      <w:r>
        <w:rPr>
          <w:strike/>
        </w:rPr>
        <w:t xml:space="preserve">handicap</w:t>
      </w:r>
      <w:r>
        <w:t>))</w:t>
      </w:r>
      <w:r>
        <w:rPr/>
        <w:t xml:space="preserve"> </w:t>
      </w:r>
      <w:r>
        <w:rPr>
          <w:u w:val="single"/>
        </w:rPr>
        <w:t xml:space="preserve">disability</w:t>
      </w:r>
      <w:r>
        <w:rPr/>
        <w:t xml:space="preserve">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or</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or (b)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w:t>
      </w:r>
      <w:r>
        <w:rPr>
          <w:u w:val="single"/>
        </w:rPr>
        <w:t xml:space="preserve">, gender identity, or gender expression</w:t>
      </w:r>
      <w:r>
        <w:rPr/>
        <w:t xml:space="preserve">, or sexual orientation,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"Sexual orientation" has the same meaning as in RCW 49.60.040.</w:t>
      </w:r>
    </w:p>
    <w:p>
      <w:pPr>
        <w:spacing w:before="0" w:after="0" w:line="408" w:lineRule="exact"/>
        <w:ind w:left="0" w:right="0" w:firstLine="576"/>
        <w:jc w:val="left"/>
      </w:pPr>
      <w:r>
        <w:rPr/>
        <w:t xml:space="preserve">(b)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w:t>
      </w:r>
      <w:r>
        <w:t>((</w:t>
      </w:r>
      <w:r>
        <w:rPr>
          <w:strike/>
        </w:rPr>
        <w:t xml:space="preserve">Malicious harassment</w:t>
      </w:r>
      <w:r>
        <w:t>))</w:t>
      </w:r>
      <w:r>
        <w:rPr/>
        <w:t xml:space="preserve"> </w:t>
      </w:r>
      <w:r>
        <w:rPr>
          <w:u w:val="single"/>
        </w:rPr>
        <w:t xml:space="preserve">Commission of a hate crime offense</w:t>
      </w:r>
      <w:r>
        <w:rPr/>
        <w:t xml:space="preserve"> is a class C felony.</w:t>
      </w:r>
    </w:p>
    <w:p>
      <w:pPr>
        <w:spacing w:before="0" w:after="0" w:line="408" w:lineRule="exact"/>
        <w:ind w:left="0" w:right="0" w:firstLine="576"/>
        <w:jc w:val="left"/>
      </w:pPr>
      <w:r>
        <w:rPr/>
        <w:t xml:space="preserve">(8) The penalties provided in this section for </w:t>
      </w:r>
      <w:r>
        <w:t>((</w:t>
      </w:r>
      <w:r>
        <w:rPr>
          <w:strike/>
        </w:rPr>
        <w:t xml:space="preserve">malicious harassment</w:t>
      </w:r>
      <w:r>
        <w:t>))</w:t>
      </w:r>
      <w:r>
        <w:rPr/>
        <w:t xml:space="preserve"> </w:t>
      </w:r>
      <w:r>
        <w:rPr>
          <w:u w:val="single"/>
        </w:rPr>
        <w:t xml:space="preserve">hate crime offenses</w:t>
      </w:r>
      <w:r>
        <w:rPr/>
        <w:t xml:space="preserve">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office of the attorney general must, by September 1, 2019, coordinate and convene a multidisciplinary hate crime advisory working group for the purpose of developing strategies toward raising awareness of and appropriate responses to hate crime offenses. The working group must be a collaboration between governmental entities, members of vulnerable communities, and persons with lived experience relating to hate crimes.</w:t>
      </w:r>
    </w:p>
    <w:p>
      <w:pPr>
        <w:spacing w:before="0" w:after="0" w:line="408" w:lineRule="exact"/>
        <w:ind w:left="0" w:right="0" w:firstLine="576"/>
        <w:jc w:val="left"/>
      </w:pPr>
      <w:r>
        <w:rPr/>
        <w:t xml:space="preserve">(2) The group's membership must include, at a minimum, representatives of:</w:t>
      </w:r>
    </w:p>
    <w:p>
      <w:pPr>
        <w:spacing w:before="0" w:after="0" w:line="408" w:lineRule="exact"/>
        <w:ind w:left="0" w:right="0" w:firstLine="576"/>
        <w:jc w:val="left"/>
      </w:pPr>
      <w:r>
        <w:rPr/>
        <w:t xml:space="preserve">(a) Organizations representing protected groups under RCW 9A.36.080;</w:t>
      </w:r>
    </w:p>
    <w:p>
      <w:pPr>
        <w:spacing w:before="0" w:after="0" w:line="408" w:lineRule="exact"/>
        <w:ind w:left="0" w:right="0" w:firstLine="576"/>
        <w:jc w:val="left"/>
      </w:pPr>
      <w:r>
        <w:rPr/>
        <w:t xml:space="preserve">(b) Faith organizations;</w:t>
      </w:r>
    </w:p>
    <w:p>
      <w:pPr>
        <w:spacing w:before="0" w:after="0" w:line="408" w:lineRule="exact"/>
        <w:ind w:left="0" w:right="0" w:firstLine="576"/>
        <w:jc w:val="left"/>
      </w:pPr>
      <w:r>
        <w:rPr/>
        <w:t xml:space="preserve">(c) Victims' rights organizations;</w:t>
      </w:r>
    </w:p>
    <w:p>
      <w:pPr>
        <w:spacing w:before="0" w:after="0" w:line="408" w:lineRule="exact"/>
        <w:ind w:left="0" w:right="0" w:firstLine="576"/>
        <w:jc w:val="left"/>
      </w:pPr>
      <w:r>
        <w:rPr/>
        <w:t xml:space="preserve">(d) The office of the superintendent of public instruction;</w:t>
      </w:r>
    </w:p>
    <w:p>
      <w:pPr>
        <w:spacing w:before="0" w:after="0" w:line="408" w:lineRule="exact"/>
        <w:ind w:left="0" w:right="0" w:firstLine="576"/>
        <w:jc w:val="left"/>
      </w:pPr>
      <w:r>
        <w:rPr/>
        <w:t xml:space="preserve">(e) The office of the governor;</w:t>
      </w:r>
    </w:p>
    <w:p>
      <w:pPr>
        <w:spacing w:before="0" w:after="0" w:line="408" w:lineRule="exact"/>
        <w:ind w:left="0" w:right="0" w:firstLine="576"/>
        <w:jc w:val="left"/>
      </w:pPr>
      <w:r>
        <w:rPr/>
        <w:t xml:space="preserve">(f) The office of the attorney general;</w:t>
      </w:r>
    </w:p>
    <w:p>
      <w:pPr>
        <w:spacing w:before="0" w:after="0" w:line="408" w:lineRule="exact"/>
        <w:ind w:left="0" w:right="0" w:firstLine="576"/>
        <w:jc w:val="left"/>
      </w:pPr>
      <w:r>
        <w:rPr/>
        <w:t xml:space="preserve">(g) Law enforcement, including representatives of tribal police;</w:t>
      </w:r>
    </w:p>
    <w:p>
      <w:pPr>
        <w:spacing w:before="0" w:after="0" w:line="408" w:lineRule="exact"/>
        <w:ind w:left="0" w:right="0" w:firstLine="576"/>
        <w:jc w:val="left"/>
      </w:pPr>
      <w:r>
        <w:rPr/>
        <w:t xml:space="preserve">(h) Emergency dispatchers;</w:t>
      </w:r>
    </w:p>
    <w:p>
      <w:pPr>
        <w:spacing w:before="0" w:after="0" w:line="408" w:lineRule="exact"/>
        <w:ind w:left="0" w:right="0" w:firstLine="576"/>
        <w:jc w:val="left"/>
      </w:pPr>
      <w:r>
        <w:rPr/>
        <w:t xml:space="preserve">(i) The criminal justice training commission;</w:t>
      </w:r>
    </w:p>
    <w:p>
      <w:pPr>
        <w:spacing w:before="0" w:after="0" w:line="408" w:lineRule="exact"/>
        <w:ind w:left="0" w:right="0" w:firstLine="576"/>
        <w:jc w:val="left"/>
      </w:pPr>
      <w:r>
        <w:rPr/>
        <w:t xml:space="preserve">(j) Prosecutors; and</w:t>
      </w:r>
    </w:p>
    <w:p>
      <w:pPr>
        <w:spacing w:before="0" w:after="0" w:line="408" w:lineRule="exact"/>
        <w:ind w:left="0" w:right="0" w:firstLine="576"/>
        <w:jc w:val="left"/>
      </w:pPr>
      <w:r>
        <w:rPr/>
        <w:t xml:space="preserve">(k) Criminal defense attorneys.</w:t>
      </w:r>
    </w:p>
    <w:p>
      <w:pPr>
        <w:spacing w:before="0" w:after="0" w:line="408" w:lineRule="exact"/>
        <w:ind w:left="0" w:right="0" w:firstLine="576"/>
        <w:jc w:val="left"/>
      </w:pPr>
      <w:r>
        <w:rPr/>
        <w:t xml:space="preserve">(3) The work group must develop recommended best practices for:</w:t>
      </w:r>
    </w:p>
    <w:p>
      <w:pPr>
        <w:spacing w:before="0" w:after="0" w:line="408" w:lineRule="exact"/>
        <w:ind w:left="0" w:right="0" w:firstLine="576"/>
        <w:jc w:val="left"/>
      </w:pPr>
      <w:r>
        <w:rPr/>
        <w:t xml:space="preserve">(a) Preventing hate crimes through public awareness and antibias campaigns;</w:t>
      </w:r>
    </w:p>
    <w:p>
      <w:pPr>
        <w:spacing w:before="0" w:after="0" w:line="408" w:lineRule="exact"/>
        <w:ind w:left="0" w:right="0" w:firstLine="576"/>
        <w:jc w:val="left"/>
      </w:pPr>
      <w:r>
        <w:rPr/>
        <w:t xml:space="preserve">(b) Increasing identification and reporting of hate crimes, including recommendations for standardization of data collection and reporting;</w:t>
      </w:r>
    </w:p>
    <w:p>
      <w:pPr>
        <w:spacing w:before="0" w:after="0" w:line="408" w:lineRule="exact"/>
        <w:ind w:left="0" w:right="0" w:firstLine="576"/>
        <w:jc w:val="left"/>
      </w:pPr>
      <w:r>
        <w:rPr/>
        <w:t xml:space="preserve">(c) Strengthening law enforcement and prosecutorial responses to hate crime offenses through enhanced training and other measures; and</w:t>
      </w:r>
    </w:p>
    <w:p>
      <w:pPr>
        <w:spacing w:before="0" w:after="0" w:line="408" w:lineRule="exact"/>
        <w:ind w:left="0" w:right="0" w:firstLine="576"/>
        <w:jc w:val="left"/>
      </w:pPr>
      <w:r>
        <w:rPr/>
        <w:t xml:space="preserve">(d) Supporting victims of hate crime offenses, and in particular, ways of strengthening law enforcement collaboration with, and victim connection to, community advocacy and support organizations.</w:t>
      </w:r>
    </w:p>
    <w:p>
      <w:pPr>
        <w:spacing w:before="0" w:after="0" w:line="408" w:lineRule="exact"/>
        <w:ind w:left="0" w:right="0" w:firstLine="576"/>
        <w:jc w:val="left"/>
      </w:pPr>
      <w:r>
        <w:rPr/>
        <w:t xml:space="preserve">(4) The working group is encouraged to solicit participation and feedback from nonmember groups and individuals with relevant experience, as needed.</w:t>
      </w:r>
    </w:p>
    <w:p>
      <w:pPr>
        <w:spacing w:before="0" w:after="0" w:line="408" w:lineRule="exact"/>
        <w:ind w:left="0" w:right="0" w:firstLine="576"/>
        <w:jc w:val="left"/>
      </w:pPr>
      <w:r>
        <w:rPr/>
        <w:t xml:space="preserve">(5) The working group must hold at least four meetings. By July 1, 2020, the office of the attorney general must report the working group's recommendations to the governor and the legislature,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w:t>
      </w:r>
      <w:r>
        <w:t>((</w:t>
      </w:r>
      <w:r>
        <w:rPr>
          <w:strike/>
        </w:rPr>
        <w:t xml:space="preserve">crimes of malicious harassment</w:t>
      </w:r>
      <w:r>
        <w:t>))</w:t>
      </w:r>
      <w:r>
        <w:rPr/>
        <w:t xml:space="preserve"> </w:t>
      </w:r>
      <w:r>
        <w:rPr>
          <w:u w:val="single"/>
        </w:rPr>
        <w:t xml:space="preserve">hate crime offenses</w:t>
      </w:r>
      <w:r>
        <w:rPr/>
        <w:t xml:space="preserve">, as well as specific legal skills and knowledge of RCW 9A.36.080, relevant cases, court rules, and the special needs of </w:t>
      </w:r>
      <w:r>
        <w:t>((</w:t>
      </w:r>
      <w:r>
        <w:rPr>
          <w:strike/>
        </w:rPr>
        <w:t xml:space="preserve">malicious harassment</w:t>
      </w:r>
      <w:r>
        <w:t>))</w:t>
      </w:r>
      <w:r>
        <w:rPr/>
        <w:t xml:space="preserve"> </w:t>
      </w:r>
      <w:r>
        <w:rPr>
          <w:u w:val="single"/>
        </w:rPr>
        <w:t xml:space="preserve">hate crime offense</w:t>
      </w:r>
      <w:r>
        <w:rPr/>
        <w:t xml:space="preserv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Harassment (RCW 9A.36.080)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083</w:t>
      </w:r>
      <w:r>
        <w:rPr/>
        <w:t xml:space="preserve"> and 1993 c 127 s 3 are each amended to read as follows:</w:t>
      </w:r>
    </w:p>
    <w:p>
      <w:pPr>
        <w:spacing w:before="0" w:after="0" w:line="408" w:lineRule="exact"/>
        <w:ind w:left="0" w:right="0" w:firstLine="576"/>
        <w:jc w:val="left"/>
      </w:pPr>
      <w:r>
        <w:rPr/>
        <w:t xml:space="preserve">In addition to the criminal penalty provided in RCW 9A.36.080 for committing a </w:t>
      </w:r>
      <w:r>
        <w:t>((</w:t>
      </w:r>
      <w:r>
        <w:rPr>
          <w:strike/>
        </w:rPr>
        <w:t xml:space="preserve">crime of malicious harassment</w:t>
      </w:r>
      <w:r>
        <w:t>))</w:t>
      </w:r>
      <w:r>
        <w:rPr/>
        <w:t xml:space="preserve"> </w:t>
      </w:r>
      <w:r>
        <w:rPr>
          <w:u w:val="single"/>
        </w:rPr>
        <w:t xml:space="preserve">hate crime offense</w:t>
      </w:r>
      <w:r>
        <w:rPr/>
        <w:t xml:space="preserve">, the victim may bring a civil cause of action for </w:t>
      </w:r>
      <w:r>
        <w:t>((</w:t>
      </w:r>
      <w:r>
        <w:rPr>
          <w:strike/>
        </w:rPr>
        <w:t xml:space="preserve">malicious harassment</w:t>
      </w:r>
      <w:r>
        <w:t>))</w:t>
      </w:r>
      <w:r>
        <w:rPr/>
        <w:t xml:space="preserve"> </w:t>
      </w:r>
      <w:r>
        <w:rPr>
          <w:u w:val="single"/>
        </w:rPr>
        <w:t xml:space="preserve">the hate crime offense</w:t>
      </w:r>
      <w:r>
        <w:rPr/>
        <w:t xml:space="preserve"> against the </w:t>
      </w:r>
      <w:r>
        <w:t>((</w:t>
      </w:r>
      <w:r>
        <w:rPr>
          <w:strike/>
        </w:rPr>
        <w:t xml:space="preserve">harasser</w:t>
      </w:r>
      <w:r>
        <w:t>))</w:t>
      </w:r>
      <w:r>
        <w:rPr/>
        <w:t xml:space="preserve"> </w:t>
      </w:r>
      <w:r>
        <w:rPr>
          <w:u w:val="single"/>
        </w:rPr>
        <w:t xml:space="preserve">person who committed the offense</w:t>
      </w:r>
      <w:r>
        <w:rPr/>
        <w:t xml:space="preserve">. A person may be liable to the victim of </w:t>
      </w:r>
      <w:r>
        <w:t>((</w:t>
      </w:r>
      <w:r>
        <w:rPr>
          <w:strike/>
        </w:rPr>
        <w:t xml:space="preserve">malicious harassment</w:t>
      </w:r>
      <w:r>
        <w:t>))</w:t>
      </w:r>
      <w:r>
        <w:rPr/>
        <w:t xml:space="preserve"> </w:t>
      </w:r>
      <w:r>
        <w:rPr>
          <w:u w:val="single"/>
        </w:rPr>
        <w:t xml:space="preserve">the hate crime offense</w:t>
      </w:r>
      <w:r>
        <w:rPr/>
        <w:t xml:space="preserve"> for actual damages, punitive damages of up to ten thousand dollars, and reasonable attorneys' fees and costs incurred in bringing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w:t>
      </w:r>
      <w:r>
        <w:t>((</w:t>
      </w:r>
      <w:r>
        <w:rPr>
          <w:strike/>
        </w:rPr>
        <w:t xml:space="preserve">malicious harassment</w:t>
      </w:r>
      <w:r>
        <w:t>))</w:t>
      </w:r>
      <w:r>
        <w:rPr/>
        <w:t xml:space="preserve"> </w:t>
      </w:r>
      <w:r>
        <w:rPr>
          <w:u w:val="single"/>
        </w:rPr>
        <w:t xml:space="preserve">hate crime</w:t>
      </w:r>
      <w:r>
        <w:rPr/>
        <w:t xml:space="preserv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553</w:t>
      </w:r>
      <w:r>
        <w:rPr/>
        <w:t xml:space="preserve"> and 2003 c 117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"Insured" means a current policyholder or a person or entity that is covered under the insurance policy.</w:t>
      </w:r>
    </w:p>
    <w:p>
      <w:pPr>
        <w:spacing w:before="0" w:after="0" w:line="408" w:lineRule="exact"/>
        <w:ind w:left="0" w:right="0" w:firstLine="576"/>
        <w:jc w:val="left"/>
      </w:pPr>
      <w:r>
        <w:rPr/>
        <w:t xml:space="preserve">(b) </w:t>
      </w:r>
      <w:r>
        <w:t>((</w:t>
      </w:r>
      <w:r>
        <w:rPr>
          <w:strike/>
        </w:rPr>
        <w:t xml:space="preserve">"Malicious harassment"</w:t>
      </w:r>
      <w:r>
        <w:t>))</w:t>
      </w:r>
      <w:r>
        <w:rPr/>
        <w:t xml:space="preserve"> </w:t>
      </w:r>
      <w:r>
        <w:rPr>
          <w:u w:val="single"/>
        </w:rPr>
        <w:t xml:space="preserve">"Hate crime offense"</w:t>
      </w:r>
      <w:r>
        <w:rPr/>
        <w:t xml:space="preserve"> has the same meaning as RCW 9A.36.080. Under this section, the perpetrator does not have to be identified for </w:t>
      </w:r>
      <w:r>
        <w:t>((</w:t>
      </w:r>
      <w:r>
        <w:rPr>
          <w:strike/>
        </w:rPr>
        <w:t xml:space="preserve">an act of malicious harassment</w:t>
      </w:r>
      <w:r>
        <w:t>))</w:t>
      </w:r>
      <w:r>
        <w:rPr/>
        <w:t xml:space="preserve"> </w:t>
      </w:r>
      <w:r>
        <w:rPr>
          <w:u w:val="single"/>
        </w:rPr>
        <w:t xml:space="preserve">a hate crime offense</w:t>
      </w:r>
      <w:r>
        <w:rPr/>
        <w:t xml:space="preserve"> to have occurred.</w:t>
      </w:r>
    </w:p>
    <w:p>
      <w:pPr>
        <w:spacing w:before="0" w:after="0" w:line="408" w:lineRule="exact"/>
        <w:ind w:left="0" w:right="0" w:firstLine="576"/>
        <w:jc w:val="left"/>
      </w:pPr>
      <w:r>
        <w:rPr/>
        <w:t xml:space="preserve">(c) "Underwriting action" means an insurer:</w:t>
      </w:r>
    </w:p>
    <w:p>
      <w:pPr>
        <w:spacing w:before="0" w:after="0" w:line="408" w:lineRule="exact"/>
        <w:ind w:left="0" w:right="0" w:firstLine="576"/>
        <w:jc w:val="left"/>
      </w:pPr>
      <w:r>
        <w:rPr/>
        <w:t xml:space="preserve">(i) Cancels or refuses to renew an insurance policy; or</w:t>
      </w:r>
    </w:p>
    <w:p>
      <w:pPr>
        <w:spacing w:before="0" w:after="0" w:line="408" w:lineRule="exact"/>
        <w:ind w:left="0" w:right="0" w:firstLine="576"/>
        <w:jc w:val="left"/>
      </w:pPr>
      <w:r>
        <w:rPr/>
        <w:t xml:space="preserve">(ii) Changes the terms or benefits in an insurance policy.</w:t>
      </w:r>
    </w:p>
    <w:p>
      <w:pPr>
        <w:spacing w:before="0" w:after="0" w:line="408" w:lineRule="exact"/>
        <w:ind w:left="0" w:right="0" w:firstLine="576"/>
        <w:jc w:val="left"/>
      </w:pPr>
      <w:r>
        <w:rPr/>
        <w:t xml:space="preserve">(2) This section applies to property insurance policies if the insured is:</w:t>
      </w:r>
    </w:p>
    <w:p>
      <w:pPr>
        <w:spacing w:before="0" w:after="0" w:line="408" w:lineRule="exact"/>
        <w:ind w:left="0" w:right="0" w:firstLine="576"/>
        <w:jc w:val="left"/>
      </w:pPr>
      <w:r>
        <w:rPr/>
        <w:t xml:space="preserve">(a) An individual;</w:t>
      </w:r>
    </w:p>
    <w:p>
      <w:pPr>
        <w:spacing w:before="0" w:after="0" w:line="408" w:lineRule="exact"/>
        <w:ind w:left="0" w:right="0" w:firstLine="576"/>
        <w:jc w:val="left"/>
      </w:pPr>
      <w:r>
        <w:rPr/>
        <w:t xml:space="preserve">(b) A religious organization;</w:t>
      </w:r>
    </w:p>
    <w:p>
      <w:pPr>
        <w:spacing w:before="0" w:after="0" w:line="408" w:lineRule="exact"/>
        <w:ind w:left="0" w:right="0" w:firstLine="576"/>
        <w:jc w:val="left"/>
      </w:pPr>
      <w:r>
        <w:rPr/>
        <w:t xml:space="preserve">(c) An educational organization; or</w:t>
      </w:r>
    </w:p>
    <w:p>
      <w:pPr>
        <w:spacing w:before="0" w:after="0" w:line="408" w:lineRule="exact"/>
        <w:ind w:left="0" w:right="0" w:firstLine="576"/>
        <w:jc w:val="left"/>
      </w:pPr>
      <w:r>
        <w:rPr/>
        <w:t xml:space="preserve">(d) Any other nonprofit organization that is organized and operated for religious, charitable, or educational purposes.</w:t>
      </w:r>
    </w:p>
    <w:p>
      <w:pPr>
        <w:spacing w:before="0" w:after="0" w:line="408" w:lineRule="exact"/>
        <w:ind w:left="0" w:right="0" w:firstLine="576"/>
        <w:jc w:val="left"/>
      </w:pPr>
      <w:r>
        <w:rPr/>
        <w:t xml:space="preserve">(3) An insurer may not take an underwriting action on a policy described in subsection (2) of this section because an insured has made one or more insurance claims for any loss that occurred during the preceding sixty months that is the result of </w:t>
      </w:r>
      <w:r>
        <w:t>((</w:t>
      </w:r>
      <w:r>
        <w:rPr>
          <w:strike/>
        </w:rPr>
        <w:t xml:space="preserve">malicious harassment</w:t>
      </w:r>
      <w:r>
        <w:t>))</w:t>
      </w:r>
      <w:r>
        <w:rPr/>
        <w:t xml:space="preserve"> </w:t>
      </w:r>
      <w:r>
        <w:rPr>
          <w:u w:val="single"/>
        </w:rPr>
        <w:t xml:space="preserve">a hate crime offense</w:t>
      </w:r>
      <w:r>
        <w:rPr/>
        <w:t xml:space="preserve">. An insurer may take an underwriting action due to other factors that are not prohibited by this subsection.</w:t>
      </w:r>
    </w:p>
    <w:p>
      <w:pPr>
        <w:spacing w:before="0" w:after="0" w:line="408" w:lineRule="exact"/>
        <w:ind w:left="0" w:right="0" w:firstLine="576"/>
        <w:jc w:val="left"/>
      </w:pPr>
      <w:r>
        <w:rPr/>
        <w:t xml:space="preserve">(4) If an insured sustains a loss that is the result of </w:t>
      </w:r>
      <w:r>
        <w:t>((</w:t>
      </w:r>
      <w:r>
        <w:rPr>
          <w:strike/>
        </w:rPr>
        <w:t xml:space="preserve">malicious harassment</w:t>
      </w:r>
      <w:r>
        <w:t>))</w:t>
      </w:r>
      <w:r>
        <w:rPr/>
        <w:t xml:space="preserve"> </w:t>
      </w:r>
      <w:r>
        <w:rPr>
          <w:u w:val="single"/>
        </w:rPr>
        <w:t xml:space="preserve">a hate crime offense</w:t>
      </w:r>
      <w:r>
        <w:rPr/>
        <w:t xml:space="preserve">, the insured must file a report with the police or other law enforcement authority within thirty days of discovery of the incident, and a law enforcement authority must determine that a crime has occurred. The report must contain sufficient information to provide an insurer with reasonable notice that the loss was the result of </w:t>
      </w:r>
      <w:r>
        <w:t>((</w:t>
      </w:r>
      <w:r>
        <w:rPr>
          <w:strike/>
        </w:rPr>
        <w:t xml:space="preserve">malicious harassment</w:t>
      </w:r>
      <w:r>
        <w:t>))</w:t>
      </w:r>
      <w:r>
        <w:rPr/>
        <w:t xml:space="preserve"> </w:t>
      </w:r>
      <w:r>
        <w:rPr>
          <w:u w:val="single"/>
        </w:rPr>
        <w:t xml:space="preserve">a hate crime offense</w:t>
      </w:r>
      <w:r>
        <w:rPr/>
        <w:t xml:space="preserve">. The insured has a duty to cooperate with any law enforcement official or insurer investigation. </w:t>
      </w:r>
      <w:r>
        <w:t>((</w:t>
      </w:r>
      <w:r>
        <w:rPr>
          <w:strike/>
        </w:rPr>
        <w:t xml:space="preserve">For incidents of malicious harassment occurring prior to July 27, 2003, the insured must file the report within six months of the discovery of the incident.</w:t>
      </w:r>
      <w:r>
        <w:t>))</w:t>
      </w:r>
    </w:p>
    <w:p>
      <w:pPr>
        <w:spacing w:before="0" w:after="0" w:line="408" w:lineRule="exact"/>
        <w:ind w:left="0" w:right="0" w:firstLine="576"/>
        <w:jc w:val="left"/>
      </w:pPr>
      <w:r>
        <w:rPr/>
        <w:t xml:space="preserve">(5) Annually, each insurer must report underwriting actions to the commissioner if the insurer has taken an underwriting action against any insured who has filed a claim during the preceding sixty months that was the result of </w:t>
      </w:r>
      <w:r>
        <w:t>((</w:t>
      </w:r>
      <w:r>
        <w:rPr>
          <w:strike/>
        </w:rPr>
        <w:t xml:space="preserve">malicious harassment</w:t>
      </w:r>
      <w:r>
        <w:t>))</w:t>
      </w:r>
      <w:r>
        <w:rPr/>
        <w:t xml:space="preserve"> </w:t>
      </w:r>
      <w:r>
        <w:rPr>
          <w:u w:val="single"/>
        </w:rPr>
        <w:t xml:space="preserve">a hate crime offense</w:t>
      </w:r>
      <w:r>
        <w:rPr/>
        <w:t xml:space="preserve">. The report must include the policy number, name of the insured, location of the property, and the reason for the underwriting action.</w:t>
      </w:r>
    </w:p>
    <w:p/>
    <w:p>
      <w:pPr>
        <w:jc w:val="center"/>
      </w:pPr>
      <w:r>
        <w:rPr>
          <w:b/>
        </w:rPr>
        <w:t>--- END ---</w:t>
      </w:r>
    </w:p>
    <w:sectPr>
      <w:pgNumType w:start="1"/>
      <w:footerReference xmlns:r="http://schemas.openxmlformats.org/officeDocument/2006/relationships" r:id="R16e437c214394d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d05dacd844c79" /><Relationship Type="http://schemas.openxmlformats.org/officeDocument/2006/relationships/footer" Target="/word/footer1.xml" Id="R16e437c214394d8a" /></Relationships>
</file>