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7a75d9b854a2f" /></Relationships>
</file>

<file path=word/document.xml><?xml version="1.0" encoding="utf-8"?>
<w:document xmlns:w="http://schemas.openxmlformats.org/wordprocessingml/2006/main">
  <w:body>
    <w:p>
      <w:r>
        <w:t>S-0985.2</w:t>
      </w:r>
    </w:p>
    <w:p>
      <w:pPr>
        <w:jc w:val="center"/>
      </w:pPr>
      <w:r>
        <w:t>_______________________________________________</w:t>
      </w:r>
    </w:p>
    <w:p/>
    <w:p>
      <w:pPr>
        <w:jc w:val="center"/>
      </w:pPr>
      <w:r>
        <w:rPr>
          <w:b/>
        </w:rPr>
        <w:t>SENATE BILL 5880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Darneille, Nguyen, and Saldaña</w:t>
      </w:r>
    </w:p>
    <w:p/>
    <w:p>
      <w:r>
        <w:rPr>
          <w:t xml:space="preserve">Read first time 02/08/19.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sentencing; amending RCW 13.40.0357, 13.04.030, 13.40.110, and 13.40.300;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r>
              <w:rPr>
                <w:rFonts w:ascii="Times New Roman" w:hAnsi="Times New Roman"/>
                <w:sz w:val="20"/>
              </w:rPr>
              <w:t xml:space="preserve"> </w:t>
            </w: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p>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w:t>
      </w:r>
      <w:r>
        <w:t>((</w:t>
      </w:r>
      <w:r>
        <w:rPr>
          <w:strike/>
        </w:rPr>
        <w:t xml:space="preserve">However, once the case is returned to juvenile court, the court may hold a decline hearing pursuant to RCW 13.40.110 to determine whether to retain the case in juvenile court for the purpose of disposition or return the case to adult criminal court for sentencing.</w:t>
      </w:r>
      <w:r>
        <w:t>))</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2018 c 162 s 4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fifteen years of age or older and is charged with a serious violent offense as defined in RCW 9.94A.030; </w:t>
      </w:r>
      <w:r>
        <w:t>((</w:t>
      </w:r>
      <w:r>
        <w:rPr>
          <w:strike/>
        </w:rPr>
        <w:t xml:space="preserve">or</w:t>
      </w:r>
      <w:r>
        <w:t>))</w:t>
      </w:r>
    </w:p>
    <w:p>
      <w:pPr>
        <w:spacing w:before="0" w:after="0" w:line="408" w:lineRule="exact"/>
        <w:ind w:left="0" w:right="0" w:firstLine="576"/>
        <w:jc w:val="left"/>
      </w:pPr>
      <w:r>
        <w:rPr/>
        <w:t xml:space="preserve">(b) The respondent is, at the time of proceedings, fourteen years of age or younger and is charged with murder in the first degree (RCW 9A.32.030), and/or murder in the second degree (RCW 9A.32.050)</w:t>
      </w:r>
      <w:r>
        <w:rPr>
          <w:u w:val="single"/>
        </w:rPr>
        <w:t xml:space="preserve">; or</w:t>
      </w:r>
    </w:p>
    <w:p>
      <w:pPr>
        <w:spacing w:before="0" w:after="0" w:line="408" w:lineRule="exact"/>
        <w:ind w:left="0" w:right="0" w:firstLine="576"/>
        <w:jc w:val="left"/>
      </w:pPr>
      <w:r>
        <w:rPr>
          <w:u w:val="single"/>
        </w:rPr>
        <w:t xml:space="preserve">(c) The respondent is any age and is charged with custodial assault, RCW 9A.36.100, and, at the time the respondent is charged, the respondent has a criminal history which includes a prior conviction for custodial assault committed when the respondent was already serving a minimum juvenile sentence to age twenty-one</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w:t>
      </w:r>
      <w:r>
        <w:rPr>
          <w:u w:val="single"/>
        </w:rPr>
        <w:t xml:space="preserve">that is not also an offense listed in RCW 13.04.030(1)(e)(v)</w:t>
      </w:r>
      <w:r>
        <w:rPr/>
        <w:t xml:space="preserve">, and an automatic extension is necessary to impose the </w:t>
      </w:r>
      <w:r>
        <w:rPr>
          <w:u w:val="single"/>
        </w:rPr>
        <w:t xml:space="preserve">juvenile</w:t>
      </w:r>
      <w:r>
        <w:rPr/>
        <w:t xml:space="preserv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
      <w:pPr>
        <w:jc w:val="center"/>
      </w:pPr>
      <w:r>
        <w:rPr>
          <w:b/>
        </w:rPr>
        <w:t>--- END ---</w:t>
      </w:r>
    </w:p>
    <w:sectPr>
      <w:pgNumType w:start="1"/>
      <w:footerReference xmlns:r="http://schemas.openxmlformats.org/officeDocument/2006/relationships" r:id="R48302b680b2342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3f5ba829646ab" /><Relationship Type="http://schemas.openxmlformats.org/officeDocument/2006/relationships/footer" Target="/word/footer1.xml" Id="R48302b680b2342d5" /></Relationships>
</file>