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f3febede8a4677" /></Relationships>
</file>

<file path=word/document.xml><?xml version="1.0" encoding="utf-8"?>
<w:document xmlns:w="http://schemas.openxmlformats.org/wordprocessingml/2006/main">
  <w:body>
    <w:p>
      <w:r>
        <w:t>Z-0498.3</w:t>
      </w:r>
    </w:p>
    <w:p>
      <w:pPr>
        <w:jc w:val="center"/>
      </w:pPr>
      <w:r>
        <w:t>_______________________________________________</w:t>
      </w:r>
    </w:p>
    <w:p/>
    <w:p>
      <w:pPr>
        <w:jc w:val="center"/>
      </w:pPr>
      <w:r>
        <w:rPr>
          <w:b/>
        </w:rPr>
        <w:t>SENATE BILL 5942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Das, Lovelett, Nguyen, Hasegawa, Keiser, Kuderer, and Wilson, C.; by request of Attorney General</w:t>
      </w:r>
    </w:p>
    <w:p/>
    <w:p>
      <w:r>
        <w:rPr>
          <w:t xml:space="preserve">Read first time 02/18/19.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core state services for children; amending RCW 43.88C.010 and 43.88.058;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 adequate funding for legal services for agency and parents' counsel, and stability in the budgeting process for these services. For this reason, the legislature intends that costs for legal services for counsel for the department of children, youth, and families and counsel for parents to prepare for and participate in all stages of foster care-related legal proceedings be included in the state budgeting process at maintenance level. By implementing consistent statewide assessments, forecasting legal services caseloads, and incorporating forecast-based legal services costs into the maintenance level budget, the state can ensure predictable funding levels and effective legal services, and that reasonable efforts are made to prevent removal of children and finalize their permanent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2018 c 208 s 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The caseload forecast council shall forecast the number of youth expected to receive behavioral rehabilitation services while involved in the foster care system </w:t>
      </w:r>
      <w:r>
        <w:t>((</w:t>
      </w:r>
      <w:r>
        <w:rPr>
          <w:strike/>
        </w:rPr>
        <w:t xml:space="preserve">and</w:t>
      </w:r>
      <w:r>
        <w:t>))</w:t>
      </w:r>
      <w:r>
        <w:rPr>
          <w:u w:val="single"/>
        </w:rPr>
        <w:t xml:space="preserve">,</w:t>
      </w:r>
      <w:r>
        <w:rPr/>
        <w:t xml:space="preserve"> the number of screened in reports of child abuse or neglect</w:t>
      </w:r>
      <w:r>
        <w:rPr>
          <w:u w:val="single"/>
        </w:rPr>
        <w:t xml:space="preserve">, and the number of dependency and termination petitions</w:t>
      </w:r>
      <w:r>
        <w:rPr/>
        <w:t xml:space="preserve">.</w:t>
      </w:r>
    </w:p>
    <w:p>
      <w:pPr>
        <w:spacing w:before="0" w:after="0" w:line="408" w:lineRule="exact"/>
        <w:ind w:left="0" w:right="0" w:firstLine="576"/>
        <w:jc w:val="left"/>
      </w:pPr>
      <w:r>
        <w:rPr/>
        <w:t xml:space="preserve">(11)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w:t>
      </w:r>
      <w:r>
        <w:t>((</w:t>
      </w:r>
      <w:r>
        <w:rPr>
          <w:strike/>
        </w:rPr>
        <w:t xml:space="preserve">and</w:t>
      </w:r>
      <w:r>
        <w:t>))</w:t>
      </w:r>
      <w:r>
        <w:rPr/>
        <w:t xml:space="preserve"> child protective services</w:t>
      </w:r>
      <w:r>
        <w:rPr>
          <w:u w:val="single"/>
        </w:rPr>
        <w:t xml:space="preserve">, legal services for counsel for the department of children, youth, and families, and legal services for counsel for parents</w:t>
      </w:r>
      <w:r>
        <w:rPr/>
        <w:t xml:space="preserve">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w:t>
      </w:r>
      <w:r>
        <w:rPr>
          <w:u w:val="single"/>
        </w:rPr>
        <w:t xml:space="preserve">Legal services and related staff for counsel for the department of children, youth, and families, and legal services and related staff for counsel for parents, to prepare for and participate in all stages of foster care-related legal proceedings;</w:t>
      </w:r>
    </w:p>
    <w:p>
      <w:pPr>
        <w:spacing w:before="0" w:after="0" w:line="408" w:lineRule="exact"/>
        <w:ind w:left="0" w:right="0" w:firstLine="576"/>
        <w:jc w:val="left"/>
      </w:pPr>
      <w:r>
        <w:rPr>
          <w:u w:val="single"/>
        </w:rPr>
        <w:t xml:space="preserve">(4)</w:t>
      </w:r>
      <w:r>
        <w:rPr/>
        <w:t xml:space="preserve"> Court-ordered parent-child and sibling visitations delivered by contractors;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
      <w:pPr>
        <w:jc w:val="center"/>
      </w:pPr>
      <w:r>
        <w:rPr>
          <w:b/>
        </w:rPr>
        <w:t>--- END ---</w:t>
      </w:r>
    </w:p>
    <w:sectPr>
      <w:pgNumType w:start="1"/>
      <w:footerReference xmlns:r="http://schemas.openxmlformats.org/officeDocument/2006/relationships" r:id="Rd38610629e1e41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c3f4b0ca54f67" /><Relationship Type="http://schemas.openxmlformats.org/officeDocument/2006/relationships/footer" Target="/word/footer1.xml" Id="Rd38610629e1e4139" /></Relationships>
</file>