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103f0d3f54ac6" /></Relationships>
</file>

<file path=word/document.xml><?xml version="1.0" encoding="utf-8"?>
<w:document xmlns:w="http://schemas.openxmlformats.org/wordprocessingml/2006/main">
  <w:body>
    <w:p>
      <w:r>
        <w:t>S-1597.1</w:t>
      </w:r>
    </w:p>
    <w:p>
      <w:pPr>
        <w:jc w:val="center"/>
      </w:pPr>
      <w:r>
        <w:t>_______________________________________________</w:t>
      </w:r>
    </w:p>
    <w:p/>
    <w:p>
      <w:pPr>
        <w:jc w:val="center"/>
      </w:pPr>
      <w:r>
        <w:rPr>
          <w:b/>
        </w:rPr>
        <w:t>SENATE BILL 5957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Carlyle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consumer rights to personal property stored in self-storage units; amending RCW 19.150.040, 19.150.050, 19.150.060, and 19.150.150;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federal law has express protections for active duty service members of the armed forces regarding the sale of personal property stored in self-storage facilities, state law does not provide similar protections for veterans, low-income individuals, or people going through life transitions. These people are also in need of greater protection and more flexibility before their personal property is sold. The legislature intends to provide greater consumer protections by lengthening the time between a late rent payment and the sale of personal property and expressly capping late fees charged by self-storage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2015 c 13 s 2 are each amended to read as follows:</w:t>
      </w:r>
    </w:p>
    <w:p>
      <w:pPr>
        <w:spacing w:before="0" w:after="0" w:line="408" w:lineRule="exact"/>
        <w:ind w:left="0" w:right="0" w:firstLine="576"/>
        <w:jc w:val="left"/>
      </w:pPr>
      <w:r>
        <w:rPr/>
        <w:t xml:space="preserve">(1) When any part of the rent or other charges due from an occupant remains unpaid for </w:t>
      </w:r>
      <w:r>
        <w:t>((</w:t>
      </w:r>
      <w:r>
        <w:rPr>
          <w:strike/>
        </w:rPr>
        <w:t xml:space="preserve">fourteen</w:t>
      </w:r>
      <w:r>
        <w:t>))</w:t>
      </w:r>
      <w:r>
        <w:rPr/>
        <w:t xml:space="preserve"> </w:t>
      </w:r>
      <w:r>
        <w:rPr>
          <w:u w:val="single"/>
        </w:rPr>
        <w:t xml:space="preserve">twenty-eight</w:t>
      </w:r>
      <w:r>
        <w:rPr/>
        <w:t xml:space="preserve">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or </w:t>
      </w:r>
      <w:r>
        <w:t>((</w:t>
      </w:r>
      <w:r>
        <w:rPr>
          <w:strike/>
        </w:rPr>
        <w:t xml:space="preserve">electronic mail [email]</w:t>
      </w:r>
      <w:r>
        <w:t>))</w:t>
      </w:r>
      <w:r>
        <w:rPr/>
        <w:t xml:space="preserve"> </w:t>
      </w:r>
      <w:r>
        <w:rPr>
          <w:u w:val="single"/>
        </w:rPr>
        <w:t xml:space="preserve">email</w:t>
      </w:r>
      <w:r>
        <w:rPr/>
        <w:t xml:space="preserve"> address, containing all of the following:</w:t>
      </w:r>
    </w:p>
    <w:p>
      <w:pPr>
        <w:spacing w:before="0" w:after="0" w:line="408" w:lineRule="exact"/>
        <w:ind w:left="0" w:right="0" w:firstLine="576"/>
        <w:jc w:val="left"/>
      </w:pPr>
      <w:r>
        <w:rPr/>
        <w:t xml:space="preserve">(a) An itemized statement of the owner's claim showing the sums due at the time of the notice and the date when the sums become due.</w:t>
      </w:r>
    </w:p>
    <w:p>
      <w:pPr>
        <w:spacing w:before="0" w:after="0" w:line="408" w:lineRule="exact"/>
        <w:ind w:left="0" w:right="0" w:firstLine="576"/>
        <w:jc w:val="left"/>
      </w:pPr>
      <w:r>
        <w:rPr/>
        <w:t xml:space="preserve">(b) A statement that the occupant's right to use the storage space will terminate on a specified date (not less than </w:t>
      </w:r>
      <w:r>
        <w:t>((</w:t>
      </w:r>
      <w:r>
        <w:rPr>
          <w:strike/>
        </w:rPr>
        <w:t xml:space="preserve">fourteen</w:t>
      </w:r>
      <w:r>
        <w:t>))</w:t>
      </w:r>
      <w:r>
        <w:rPr/>
        <w:t xml:space="preserve"> </w:t>
      </w:r>
      <w:r>
        <w:rPr>
          <w:u w:val="single"/>
        </w:rPr>
        <w:t xml:space="preserve">twenty-eight</w:t>
      </w:r>
      <w:r>
        <w:rPr/>
        <w:t xml:space="preserve"> days after the notice is sent) unless all sums due and to become due by that date are paid by the occupant prior to the specified date.</w:t>
      </w:r>
    </w:p>
    <w:p>
      <w:pPr>
        <w:spacing w:before="0" w:after="0" w:line="408" w:lineRule="exact"/>
        <w:ind w:left="0" w:right="0" w:firstLine="576"/>
        <w:jc w:val="left"/>
      </w:pPr>
      <w:r>
        <w:rPr/>
        <w:t xml:space="preserve">(c)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(d) The name, street address, and telephone number of the owner, or his or her designated agent, whom the occupant may contact to respond to the notice.</w:t>
      </w:r>
    </w:p>
    <w:p>
      <w:pPr>
        <w:spacing w:before="0" w:after="0" w:line="408" w:lineRule="exact"/>
        <w:ind w:left="0" w:right="0" w:firstLine="576"/>
        <w:jc w:val="left"/>
      </w:pPr>
      <w:r>
        <w:rPr/>
        <w:t xml:space="preserve">(2) The owner may not send by </w:t>
      </w:r>
      <w:r>
        <w:t>((</w:t>
      </w:r>
      <w:r>
        <w:rPr>
          <w:strike/>
        </w:rPr>
        <w:t xml:space="preserve">electronic mail [email]</w:t>
      </w:r>
      <w:r>
        <w:t>))</w:t>
      </w:r>
      <w:r>
        <w:rPr/>
        <w:t xml:space="preserve"> </w:t>
      </w:r>
      <w:r>
        <w:rPr>
          <w:u w:val="single"/>
        </w:rPr>
        <w:t xml:space="preserve">email</w:t>
      </w:r>
      <w:r>
        <w:rPr/>
        <w:t xml:space="preserve">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(b) The rental agreement executed by the occupant specifies in bold type that notices will be given to the occupant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(c) The owner provides the occupant with the </w:t>
      </w:r>
      <w:r>
        <w:t>((</w:t>
      </w:r>
      <w:r>
        <w:rPr>
          <w:strike/>
        </w:rPr>
        <w:t xml:space="preserve">electronic mail [email]</w:t>
      </w:r>
      <w:r>
        <w:t>))</w:t>
      </w:r>
      <w:r>
        <w:rPr/>
        <w:t xml:space="preserve"> </w:t>
      </w:r>
      <w:r>
        <w:rPr>
          <w:u w:val="single"/>
        </w:rPr>
        <w:t xml:space="preserve">email</w:t>
      </w:r>
      <w:r>
        <w:rPr/>
        <w:t xml:space="preserve"> address from which notices will be sent and directs the occupant to modify his or her email settings to allow </w:t>
      </w:r>
      <w:r>
        <w:t>((</w:t>
      </w:r>
      <w:r>
        <w:rPr>
          <w:strike/>
        </w:rPr>
        <w:t xml:space="preserve">electronic mail [email]</w:t>
      </w:r>
      <w:r>
        <w:t>))</w:t>
      </w:r>
      <w:r>
        <w:rPr/>
        <w:t xml:space="preserve"> </w:t>
      </w:r>
      <w:r>
        <w:rPr>
          <w:u w:val="single"/>
        </w:rPr>
        <w:t xml:space="preserve">email</w:t>
      </w:r>
      <w:r>
        <w:rPr/>
        <w:t xml:space="preserve"> from that address to avoid any filtration systems; and</w:t>
      </w:r>
    </w:p>
    <w:p>
      <w:pPr>
        <w:spacing w:before="0" w:after="0" w:line="408" w:lineRule="exact"/>
        <w:ind w:left="0" w:right="0" w:firstLine="576"/>
        <w:jc w:val="left"/>
      </w:pPr>
      <w:r>
        <w:rPr/>
        <w:t xml:space="preserve">(d) The owner notifies the occupant of any change in the </w:t>
      </w:r>
      <w:r>
        <w:t>((</w:t>
      </w:r>
      <w:r>
        <w:rPr>
          <w:strike/>
        </w:rPr>
        <w:t xml:space="preserve">electronic mail [email]</w:t>
      </w:r>
      <w:r>
        <w:t>))</w:t>
      </w:r>
      <w:r>
        <w:rPr/>
        <w:t xml:space="preserve"> </w:t>
      </w:r>
      <w:r>
        <w:rPr>
          <w:u w:val="single"/>
        </w:rPr>
        <w:t xml:space="preserve">email</w:t>
      </w:r>
      <w:r>
        <w:rPr/>
        <w:t xml:space="preserve">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050</w:t>
      </w:r>
      <w:r>
        <w:rPr/>
        <w:t xml:space="preserve"> and 1988 c 240 s 6 are each amended to read as follows:</w:t>
      </w:r>
    </w:p>
    <w:p>
      <w:pPr>
        <w:spacing w:before="0" w:after="0" w:line="408" w:lineRule="exact"/>
        <w:ind w:left="0" w:right="0" w:firstLine="576"/>
        <w:jc w:val="left"/>
      </w:pPr>
      <w:r>
        <w:rPr/>
        <w:t xml:space="preserve">A notice in substantially the following form shall satisfy the requirements of RCW 19.150.040:</w:t>
      </w:r>
    </w:p>
    <w:tbl>
      <w:tblPr>
        <w:tblW w:w="0" w:type="auto"/>
        <w:jc w:val="center"/>
        <w:tcMar>
          <w:tblCellMar>
            <w:top w:w="0" w:type="dxa"/>
            <w:bottom w:w="0" w:type="dxa"/>
          </w:tblCellMar>
        </w:tcMar>
        <w:tcMar>
          <w:tblCellMar>
            <w:left w:w="70" w:type="dxa"/>
            <w:right w:w="70" w:type="dxa"/>
          </w:tblCellMar>
        </w:tcMar>
      </w:tblPr>
      <w:tblGrid>
        <w:gridCol w:w="360"/>
        <w:gridCol w:w="440"/>
        <w:gridCol w:w="700"/>
        <w:gridCol w:w="220"/>
        <w:gridCol w:w="400"/>
        <w:gridCol w:w="1300"/>
        <w:gridCol w:w="1080"/>
        <w:gridCol w:w="360"/>
      </w:tblGrid>
      <w:tr>
        <w:tc>
          <w:tcPr>
            <w:gridSpan w:val="8"/>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"PRELIMINARY LIEN NOTICE</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w:t>
            </w:r>
          </w:p>
        </w:tc>
        <w:tc>
          <w:tcPr>
            <w:gridSpan w:val="4"/>
            <w:tcW w:w="26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(occupant)</w:t>
            </w:r>
          </w:p>
        </w:tc>
        <w:tc>
          <w:tcPr>
            <w:gridSpan w:val="2"/>
            <w:tcW w:w="1440" w:type="dxa"/>
            <w:vAlign w:val="top"/>
            <w:tcMar>
              <w:left w:w="120"/>
            </w:tcMar>
            <w:tcMar>
              <w:right w:w="120"/>
            </w:tcMar>
            <w:tcMar>
              <w:top w:w="0"/>
            </w:tcMar>
            <w:tcMar>
              <w:bottom w:w="0"/>
            </w:tcMar>
          </w:tcPr>
          <w:p>
            <w:pPr>
              <w:spacing w:before="0" w:after="0" w:line="408" w:lineRule="exact"/>
              <w:ind w:left="0" w:right="0" w:firstLine="0"/>
              <w:jc w:val="both"/>
            </w:pP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4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26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(address)</w:t>
            </w:r>
          </w:p>
        </w:tc>
        <w:tc>
          <w:tcPr>
            <w:gridSpan w:val="2"/>
            <w:tcW w:w="1440" w:type="dxa"/>
            <w:vAlign w:val="top"/>
            <w:tcMar>
              <w:left w:w="120"/>
            </w:tcMar>
            <w:tcMar>
              <w:right w:w="120"/>
            </w:tcMar>
            <w:tcMar>
              <w:top w:w="0"/>
            </w:tcMar>
            <w:tcMar>
              <w:bottom w:w="0"/>
            </w:tcMar>
          </w:tcPr>
          <w:p>
            <w:pPr>
              <w:spacing w:before="0" w:after="0" w:line="408" w:lineRule="exact"/>
              <w:ind w:left="0" w:right="0" w:firstLine="0"/>
              <w:jc w:val="both"/>
            </w:pP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4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26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(state)</w:t>
            </w:r>
          </w:p>
        </w:tc>
        <w:tc>
          <w:tcPr>
            <w:gridSpan w:val="2"/>
            <w:tcW w:w="144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8"/>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20"/>
              </w:rPr>
              <w:t xml:space="preserve">You owe and have not paid rent and/or other charges for the use of storage </w:t>
            </w:r>
            <w:r>
              <w:rPr>
                <w:rFonts w:ascii="Times New Roman" w:hAnsi="Times New Roman"/>
                <w:sz w:val="20"/>
                <w:u w:val="single"/>
              </w:rPr>
              <w:t xml:space="preserve">   (space number)   </w:t>
            </w:r>
            <w:r>
              <w:rPr>
                <w:rFonts w:ascii="Times New Roman" w:hAnsi="Times New Roman"/>
                <w:sz w:val="20"/>
              </w:rPr>
              <w:t xml:space="preserve"> at </w:t>
            </w:r>
            <w:r>
              <w:rPr>
                <w:rFonts w:ascii="Times New Roman" w:hAnsi="Times New Roman"/>
                <w:sz w:val="20"/>
                <w:u w:val="single"/>
              </w:rPr>
              <w:t xml:space="preserve">   (name and address of self-service storage facility)   </w:t>
            </w:r>
          </w:p>
        </w:tc>
      </w:tr>
      <w:tr>
        <w:tc>
          <w:tcPr>
            <w:gridSpan w:val="8"/>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Charges that have been due for more than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twenty-eight</w:t>
            </w:r>
            <w:r>
              <w:rPr>
                <w:rFonts w:ascii="Times New Roman" w:hAnsi="Times New Roman"/>
                <w:sz w:val="20"/>
              </w:rPr>
              <w:t xml:space="preserve"> days and accruing on or before </w:t>
            </w:r>
            <w:r>
              <w:rPr>
                <w:rFonts w:ascii="Times New Roman" w:hAnsi="Times New Roman"/>
                <w:sz w:val="20"/>
                <w:u w:val="single"/>
              </w:rPr>
              <w:t xml:space="preserve">   (date)   </w:t>
            </w:r>
            <w:r>
              <w:rPr>
                <w:rFonts w:ascii="Times New Roman" w:hAnsi="Times New Roman"/>
                <w:sz w:val="20"/>
              </w:rPr>
              <w:t xml:space="preserve"> are itemized as follows:</w:t>
            </w:r>
          </w:p>
        </w:tc>
      </w:tr>
      <w:tr>
        <w:tc>
          <w:tcPr>
            <w:gridSpan w:val="3"/>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DUE DATE</w:t>
            </w:r>
          </w:p>
        </w:tc>
        <w:tc>
          <w:tcPr>
            <w:gridSpan w:val="3"/>
            <w:tcW w:w="19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DESCRIPTION</w:t>
            </w:r>
          </w:p>
        </w:tc>
        <w:tc>
          <w:tcPr>
            <w:gridSpan w:val="2"/>
            <w:tcW w:w="14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AMOUNT</w:t>
            </w:r>
          </w:p>
        </w:tc>
      </w:tr>
      <w:tr>
        <w:tc>
          <w:tcPr>
            <w:gridSpan w:val="3"/>
            <w:tcW w:w="150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19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440" w:type="dxa"/>
            <w:vAlign w:val="top"/>
            <w:tcMar>
              <w:left w:w="120"/>
            </w:tcMar>
            <w:tcMar>
              <w:right w:w="120"/>
            </w:tcMar>
            <w:tcMar>
              <w:top w:w="0"/>
            </w:tcMar>
            <w:tcMar>
              <w:bottom w:w="0"/>
            </w:tcMar>
          </w:tcPr>
          <w:p>
            <w:pPr>
              <w:spacing w:before="0" w:after="120" w:line="408" w:lineRule="exact"/>
              <w:ind w:left="0" w:right="0" w:firstLine="0"/>
              <w:jc w:val="both"/>
              <w:tabs>
                <w:tab w:val="right" w:leader="underscore" w:pos="1428"/>
              </w:tabs>
            </w:pPr>
            <w:r>
              <w:rPr>
                <w:rFonts w:ascii="Times New Roman" w:hAnsi="Times New Roman"/>
                <w:sz w:val="20"/>
              </w:rPr>
              <w:t xml:space="preserve">TOTAL $</w:t>
            </w:r>
            <w:r>
              <w:rPr>
                <w:u w:val="single"/>
              </w:rPr>
              <w:tab/>
            </w:r>
          </w:p>
        </w:tc>
      </w:tr>
      <w:tr>
        <w:tc>
          <w:tcPr>
            <w:gridSpan w:val="8"/>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this sum is not paid in full before </w:t>
            </w:r>
            <w:r>
              <w:rPr>
                <w:rFonts w:ascii="Times New Roman" w:hAnsi="Times New Roman"/>
                <w:sz w:val="20"/>
                <w:u w:val="single"/>
              </w:rPr>
              <w:t xml:space="preserve">   (date at least </w:t>
            </w:r>
            <w:r>
              <w:t>((</w:t>
            </w:r>
            <w:r>
              <w:rPr>
                <w:rFonts w:ascii="Times New Roman" w:hAnsi="Times New Roman"/>
                <w:strike/>
                <w:sz w:val="20"/>
                <w:u w:val="single"/>
              </w:rPr>
              <w:t xml:space="preserve">fourteen</w:t>
            </w:r>
            <w:r>
              <w:t>))</w:t>
            </w:r>
            <w:r>
              <w:rPr>
                <w:rFonts w:ascii="Times New Roman" w:hAnsi="Times New Roman"/>
                <w:sz w:val="20"/>
                <w:u w:val="single"/>
              </w:rPr>
              <w:t xml:space="preserve"> </w:t>
            </w:r>
            <w:r>
              <w:rPr>
                <w:rFonts w:ascii="Times New Roman" w:hAnsi="Times New Roman"/>
                <w:sz w:val="20"/>
                <w:u w:val="single"/>
              </w:rPr>
              <w:t xml:space="preserve">twenty-eight</w:t>
            </w:r>
            <w:r>
              <w:rPr>
                <w:rFonts w:ascii="Times New Roman" w:hAnsi="Times New Roman"/>
                <w:sz w:val="20"/>
                <w:u w:val="single"/>
              </w:rPr>
              <w:t xml:space="preserve"> days from mailing)   </w:t>
            </w:r>
            <w:r>
              <w:rPr>
                <w:rFonts w:ascii="Times New Roman" w:hAnsi="Times New Roman"/>
                <w:sz w:val="20"/>
              </w:rPr>
              <w:t xml:space="preserve">, your right to use the storage space will terminate, you may be denied, or continue to be denied, access and an owner's lien on any stored property will be imposed. You may pay the sum due and contact the owner at:</w:t>
            </w:r>
          </w:p>
        </w:tc>
      </w:tr>
      <w:tr>
        <w:tc>
          <w:tcPr>
            <w:gridSpan w:val="4"/>
            <w:tcW w:w="17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31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(Name)</w:t>
            </w:r>
          </w:p>
        </w:tc>
      </w:tr>
      <w:tr>
        <w:tc>
          <w:tcPr>
            <w:gridSpan w:val="4"/>
            <w:tcW w:w="17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31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(Address)</w:t>
            </w:r>
          </w:p>
        </w:tc>
      </w:tr>
      <w:tr>
        <w:tc>
          <w:tcPr>
            <w:gridSpan w:val="4"/>
            <w:tcW w:w="17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31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(State)</w:t>
            </w:r>
          </w:p>
        </w:tc>
      </w:tr>
      <w:tr>
        <w:tc>
          <w:tcPr>
            <w:gridSpan w:val="4"/>
            <w:tcW w:w="17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31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(Telephone)</w:t>
            </w:r>
          </w:p>
        </w:tc>
      </w:tr>
      <w:tr>
        <w:tc>
          <w:tcPr>
            <w:gridSpan w:val="4"/>
            <w:tcW w:w="172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p>
        </w:tc>
        <w:tc>
          <w:tcPr>
            <w:gridSpan w:val="4"/>
            <w:tcW w:w="3140" w:type="dxa"/>
            <w:vAlign w:val="top"/>
            <w:tcBorders>
              <w:bottom w:val="single"/>
            </w:tcBorders>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(Date)</w:t>
            </w:r>
          </w:p>
        </w:tc>
      </w:tr>
      <w:tr>
        <w:tc>
          <w:tcPr>
            <w:gridSpan w:val="5"/>
            <w:tcW w:w="21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3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   (Owner's Signature)   </w:t>
            </w:r>
          </w:p>
        </w:tc>
        <w:tc>
          <w:tcPr>
            <w:tcW w:w="3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w:t>
      </w:r>
      <w:r>
        <w:t>((</w:t>
      </w:r>
      <w:r>
        <w:rPr>
          <w:strike/>
        </w:rPr>
        <w:t xml:space="preserve">fourteen</w:t>
      </w:r>
      <w:r>
        <w:t>))</w:t>
      </w:r>
      <w:r>
        <w:rPr/>
        <w:t xml:space="preserve"> </w:t>
      </w:r>
      <w:r>
        <w:rPr>
          <w:u w:val="single"/>
        </w:rPr>
        <w:t xml:space="preserve">twenty-eight</w:t>
      </w:r>
      <w:r>
        <w:rPr/>
        <w:t xml:space="preserve"> days from the last date of sending of the final lien sale notice, or a minimum of </w:t>
      </w:r>
      <w:r>
        <w:t>((</w:t>
      </w:r>
      <w:r>
        <w:rPr>
          <w:strike/>
        </w:rPr>
        <w:t xml:space="preserve">forty-two</w:t>
      </w:r>
      <w:r>
        <w:t>))</w:t>
      </w:r>
      <w:r>
        <w:rPr/>
        <w:t xml:space="preserve"> </w:t>
      </w:r>
      <w:r>
        <w:rPr>
          <w:u w:val="single"/>
        </w:rPr>
        <w:t xml:space="preserve">eighty-four</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150</w:t>
      </w:r>
      <w:r>
        <w:rPr/>
        <w:t xml:space="preserve"> and 2008 c 61 s 2 are each amended to read as follows:</w:t>
      </w:r>
    </w:p>
    <w:p>
      <w:pPr>
        <w:spacing w:before="0" w:after="0" w:line="408" w:lineRule="exact"/>
        <w:ind w:left="0" w:right="0" w:firstLine="576"/>
        <w:jc w:val="left"/>
      </w:pPr>
      <w:r>
        <w:rPr/>
        <w:t xml:space="preserve">Any late fee charged by the owner shall be provided for in the rental agreement. No late fee shall be collected unless it is written in the rental agreement or as an addendum to such agreement. An owner may impose a </w:t>
      </w:r>
      <w:r>
        <w:t>((</w:t>
      </w:r>
      <w:r>
        <w:rPr>
          <w:strike/>
        </w:rPr>
        <w:t xml:space="preserve">reasonable</w:t>
      </w:r>
      <w:r>
        <w:t>))</w:t>
      </w:r>
      <w:r>
        <w:rPr/>
        <w:t xml:space="preserve"> late fee </w:t>
      </w:r>
      <w:r>
        <w:t>((</w:t>
      </w:r>
      <w:r>
        <w:rPr>
          <w:strike/>
        </w:rPr>
        <w:t xml:space="preserve">for each month an occupant does not pay rent when due. A late fee</w:t>
      </w:r>
      <w:r>
        <w:t>))</w:t>
      </w:r>
      <w:r>
        <w:rPr/>
        <w:t xml:space="preserve"> of </w:t>
      </w:r>
      <w:r>
        <w:rPr>
          <w:u w:val="single"/>
        </w:rPr>
        <w:t xml:space="preserve">no more than</w:t>
      </w:r>
      <w:r>
        <w:rPr/>
        <w:t xml:space="preserve"> twenty dollars or twenty percent of the monthly rental amount, whichever is greater, for each late rental payment </w:t>
      </w:r>
      <w:r>
        <w:t>((</w:t>
      </w:r>
      <w:r>
        <w:rPr>
          <w:strike/>
        </w:rPr>
        <w:t xml:space="preserve">shall be deemed reasonable, and shall not constitute a penalty</w:t>
      </w:r>
      <w:r>
        <w:t>))</w:t>
      </w:r>
      <w:r>
        <w:rPr/>
        <w:t xml:space="preserve">.</w:t>
      </w:r>
    </w:p>
    <w:p/>
    <w:p>
      <w:pPr>
        <w:jc w:val="center"/>
      </w:pPr>
      <w:r>
        <w:rPr>
          <w:b/>
        </w:rPr>
        <w:t>--- END ---</w:t>
      </w:r>
    </w:p>
    <w:sectPr>
      <w:pgNumType w:start="1"/>
      <w:footerReference xmlns:r="http://schemas.openxmlformats.org/officeDocument/2006/relationships" r:id="R3862392d028949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364032d9a4306" /><Relationship Type="http://schemas.openxmlformats.org/officeDocument/2006/relationships/footer" Target="/word/footer1.xml" Id="R3862392d02894950" /></Relationships>
</file>