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71447d2024b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Billig, Liias,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financial structure of the model toxics control program; amending RCW 82.21.010, 82.21.030, 70.105D.030, 70.105D.050, 70.75A.060, 70.76.100, 70.95M.080, 70.95M.120, 70.240.050, 70.270.050, 70.285.090, 70.280.050, 70.300.040, 90.71.370, 70.105D.130, and 70.105D.140; adding new sections to chapter 70.105D RCW; creating new sections; repealing RCW 70.105D.170 and 70.105D.070;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during the 2019-2021 biennium no transfers to the state general fund, education legacy trust account, or opportunities pathway account must be made from the state toxics control account, local toxics control account, environmental legacy stewardship account, model toxics control operating account, model toxics control capital account, or model toxics control stormwater account.</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w:t>
      </w:r>
      <w:r>
        <w:rPr>
          <w:u w:val="single"/>
        </w:rPr>
        <w:t xml:space="preserve"> </w:t>
      </w:r>
      <w:r>
        <w:rPr>
          <w:u w:val="single"/>
        </w:rPr>
        <w:t xml:space="preserve">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u w:val="single"/>
        </w:rPr>
        <w:t xml:space="preserve">(i) Sixty percent to the model toxics control operating account created under section 202 of this act;</w:t>
      </w:r>
    </w:p>
    <w:p>
      <w:pPr>
        <w:spacing w:before="0" w:after="0" w:line="408" w:lineRule="exact"/>
        <w:ind w:left="0" w:right="0" w:firstLine="576"/>
        <w:jc w:val="left"/>
      </w:pPr>
      <w:r>
        <w:rPr>
          <w:u w:val="single"/>
        </w:rPr>
        <w:t xml:space="preserve">(ii) Twenty-five percent to the model toxics control capital account created under section 203 of this act; and</w:t>
      </w:r>
    </w:p>
    <w:p>
      <w:pPr>
        <w:spacing w:before="0" w:after="0" w:line="408" w:lineRule="exact"/>
        <w:ind w:left="0" w:right="0" w:firstLine="576"/>
        <w:jc w:val="left"/>
      </w:pPr>
      <w:r>
        <w:rPr>
          <w:u w:val="single"/>
        </w:rPr>
        <w:t xml:space="preserve">(iii) Fifteen percent to the model toxics control stormwater account created under section 204 of this act.</w:t>
      </w:r>
    </w:p>
    <w:p>
      <w:pPr>
        <w:spacing w:before="0" w:after="0" w:line="408" w:lineRule="exact"/>
        <w:ind w:left="0" w:right="0" w:firstLine="576"/>
        <w:jc w:val="left"/>
      </w:pPr>
      <w:r>
        <w:rPr>
          <w:u w:val="single"/>
        </w:rPr>
        <w:t xml:space="preserve">(c) </w:t>
      </w:r>
      <w:r>
        <w:rPr>
          <w:u w:val="single"/>
        </w:rPr>
        <w:t xml:space="preserve">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u w:val="single"/>
        </w:rPr>
        <w:t xml:space="preserve">(d)</w:t>
      </w:r>
      <w:r>
        <w:rPr>
          <w:u w:val="single"/>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u w:val="singl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 except as provided under RCW 70.105D.---(7) (section 2(7), chapter . . . (SHB 1290), Laws of 2019);</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financial management and the legislative evaluation and accountability program committee must identify changes to existing budgeting and reporting systems, including enterprise, internal, and public-facing systems, that will improve access to and understanding of relevant model toxics control act account-related budget information available at the time governor-recommended and legislative budgets are released. In carrying out this work, the office of financial management and the legislative evaluation and accountability program committee must consult with legislative fiscal staff.</w:t>
      </w:r>
    </w:p>
    <w:p>
      <w:pPr>
        <w:spacing w:before="0" w:after="0" w:line="408" w:lineRule="exact"/>
        <w:ind w:left="0" w:right="0" w:firstLine="576"/>
        <w:jc w:val="left"/>
      </w:pPr>
      <w:r>
        <w:rPr/>
        <w:t xml:space="preserve">(2) The office of financial management and the legislative evaluation and accountability program committee must identify proposed improvements and, as appropriate, necessary funding and legislative changes to the governor and legislature by September 1, 2020. To the extent possible, the office of financial management and the legislative evaluation and accountability program committee may implement low and no-cost changes during the 2019-2021 biennium.</w:t>
      </w:r>
    </w:p>
    <w:p>
      <w:pPr>
        <w:spacing w:before="0" w:after="0" w:line="408" w:lineRule="exact"/>
        <w:ind w:left="0" w:right="0" w:firstLine="576"/>
        <w:jc w:val="left"/>
      </w:pPr>
      <w:r>
        <w:rPr/>
        <w:t xml:space="preserve">(3) This section expires June 30, 2021.</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2019 c . . . (SHB 1290) s 4,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c2d98a60f9a48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abfd0ea744eb4" /><Relationship Type="http://schemas.openxmlformats.org/officeDocument/2006/relationships/footer" Target="/word/footer1.xml" Id="R8c2d98a60f9a4836" /></Relationships>
</file>