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206dbdf844164" /></Relationships>
</file>

<file path=word/document.xml><?xml version="1.0" encoding="utf-8"?>
<w:document xmlns:w="http://schemas.openxmlformats.org/wordprocessingml/2006/main">
  <w:body>
    <w:p>
      <w:r>
        <w:t>S-4413.1</w:t>
      </w:r>
    </w:p>
    <w:p>
      <w:pPr>
        <w:jc w:val="center"/>
      </w:pPr>
      <w:r>
        <w:t>_______________________________________________</w:t>
      </w:r>
    </w:p>
    <w:p/>
    <w:p>
      <w:pPr>
        <w:jc w:val="center"/>
      </w:pPr>
      <w:r>
        <w:rPr>
          <w:b/>
        </w:rPr>
        <w:t>SUBSTITUTE SENATE BILL 5998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Nguyen, Lovelett, Hasegawa, Salomon,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graduated real estate excise tax; amending RCW 82.45.060, 82.45.033, 43.07.390, and 82.45.220; reenacting and amending RCW 82.45.010; adding new sections to chapter 82.45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w:t>
      </w:r>
      <w:r>
        <w:t>((</w:t>
      </w:r>
      <w:r>
        <w:rPr>
          <w:strike/>
        </w:rPr>
        <w:t xml:space="preserve">at the rate of one and twenty-eight one-hundredths percent of the selling price. Beginning July 1, 2013, and ending June 30, 2023,</w:t>
      </w:r>
      <w:r>
        <w:t>))</w:t>
      </w:r>
      <w:r>
        <w:rPr>
          <w:u w:val="single"/>
        </w:rPr>
        <w:t xml:space="preserve">. Through December 31, 2019, the rate of this tax is one and twenty-eight one-hundredths percent of the selling price. Beginning January 1, 2020, the tax under this section is computed based on the selling price, or portion thereof, multiplied by the applicable rate or rates provided in subsection (3) of this section.</w:t>
      </w:r>
    </w:p>
    <w:p>
      <w:pPr>
        <w:spacing w:before="0" w:after="0" w:line="408" w:lineRule="exact"/>
        <w:ind w:left="0" w:right="0" w:firstLine="576"/>
        <w:jc w:val="left"/>
      </w:pPr>
      <w:r>
        <w:rPr>
          <w:u w:val="single"/>
        </w:rPr>
        <w:t xml:space="preserve">(2)(a) Beginning July 1, 2013, through December 31, 2019, the proceeds of the tax under this section must be deposited as follows:</w:t>
      </w:r>
    </w:p>
    <w:p>
      <w:pPr>
        <w:spacing w:before="0" w:after="0" w:line="408" w:lineRule="exact"/>
        <w:ind w:left="0" w:right="0" w:firstLine="576"/>
        <w:jc w:val="left"/>
      </w:pPr>
      <w:r>
        <w:rPr>
          <w:u w:val="single"/>
        </w:rPr>
        <w:t xml:space="preserve">(i) A</w:t>
      </w:r>
      <w:r>
        <w:rPr/>
        <w:t xml:space="preserve">n amount equal to two percent of the proceeds of this tax must be deposited in the public works assistance account created in RCW 43.155.050</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A</w:t>
      </w:r>
      <w:r>
        <w:rPr/>
        <w:t xml:space="preserve">n amount equal to four and one-tenth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w:t>
      </w:r>
      <w:r>
        <w:t>))</w:t>
      </w:r>
      <w:r>
        <w:rPr>
          <w:u w:val="single"/>
        </w:rPr>
        <w:t xml:space="preserve">;</w:t>
      </w:r>
    </w:p>
    <w:p>
      <w:pPr>
        <w:spacing w:before="0" w:after="0" w:line="408" w:lineRule="exact"/>
        <w:ind w:left="0" w:right="0" w:firstLine="576"/>
        <w:jc w:val="left"/>
      </w:pPr>
      <w:r>
        <w:rPr>
          <w:u w:val="single"/>
        </w:rPr>
        <w:t xml:space="preserve">(iii) A</w:t>
      </w:r>
      <w:r>
        <w:rPr/>
        <w:t xml:space="preserve">n amount equal to one and six-tenths percent of the proceeds of this tax to the state treasurer must be deposited in the city-county assistance account created in RCW 43.08.290</w:t>
      </w:r>
      <w:r>
        <w:rPr>
          <w:u w:val="single"/>
        </w:rPr>
        <w:t xml:space="preserve">; and</w:t>
      </w:r>
    </w:p>
    <w:p>
      <w:pPr>
        <w:spacing w:before="0" w:after="0" w:line="408" w:lineRule="exact"/>
        <w:ind w:left="0" w:right="0" w:firstLine="576"/>
        <w:jc w:val="left"/>
      </w:pPr>
      <w:r>
        <w:rPr>
          <w:u w:val="single"/>
        </w:rPr>
        <w:t xml:space="preserve">(iv) The remainder of this tax must be deposited in the general fund.</w:t>
      </w:r>
    </w:p>
    <w:p>
      <w:pPr>
        <w:spacing w:before="0" w:after="0" w:line="408" w:lineRule="exact"/>
        <w:ind w:left="0" w:right="0" w:firstLine="576"/>
        <w:jc w:val="left"/>
      </w:pPr>
      <w:r>
        <w:rPr>
          <w:u w:val="single"/>
        </w:rPr>
        <w:t xml:space="preserve">(b) Beginning January 1, 2020, the proceeds of the tax imposed in this section must be deposited as provided in section 2 of this act.</w:t>
      </w:r>
    </w:p>
    <w:p>
      <w:pPr>
        <w:spacing w:before="0" w:after="0" w:line="408" w:lineRule="exact"/>
        <w:ind w:left="0" w:right="0" w:firstLine="576"/>
        <w:jc w:val="left"/>
      </w:pPr>
      <w:r>
        <w:rPr>
          <w:u w:val="single"/>
        </w:rPr>
        <w:t xml:space="preserve">(3) Beginning January 1, 2020, the rate of the tax imposed under this section is as follows:</w:t>
      </w:r>
    </w:p>
    <w:p>
      <w:pPr>
        <w:spacing w:before="0" w:after="0" w:line="408" w:lineRule="exact"/>
        <w:ind w:left="0" w:right="0" w:firstLine="576"/>
        <w:jc w:val="left"/>
      </w:pPr>
      <w:r>
        <w:rPr>
          <w:u w:val="single"/>
        </w:rPr>
        <w:t xml:space="preserve">(a) For the sale of real property that is classified as undeveloped land, timberland, agricultural land, or water or mineral rights, one and twenty-eight one-hundredths percent of the selling price.</w:t>
      </w:r>
    </w:p>
    <w:p>
      <w:pPr>
        <w:spacing w:before="0" w:after="0" w:line="408" w:lineRule="exact"/>
        <w:ind w:left="0" w:right="0" w:firstLine="576"/>
        <w:jc w:val="left"/>
      </w:pPr>
      <w:r>
        <w:rPr>
          <w:u w:val="single"/>
        </w:rPr>
        <w:t xml:space="preserve">(b) For the sale of real property with any classification other than those provided in (a) of this subsection:</w:t>
      </w:r>
    </w:p>
    <w:p>
      <w:pPr>
        <w:spacing w:before="0" w:after="0" w:line="408" w:lineRule="exact"/>
        <w:ind w:left="0" w:right="0" w:firstLine="576"/>
        <w:jc w:val="left"/>
      </w:pPr>
      <w:r>
        <w:rPr>
          <w:u w:val="single"/>
        </w:rPr>
        <w:t xml:space="preserve">(i) If the selling price is equal to or less than four hundred fifty thousand dollars, one percent of the selling price;</w:t>
      </w:r>
    </w:p>
    <w:p>
      <w:pPr>
        <w:spacing w:before="0" w:after="0" w:line="408" w:lineRule="exact"/>
        <w:ind w:left="0" w:right="0" w:firstLine="576"/>
        <w:jc w:val="left"/>
      </w:pPr>
      <w:r>
        <w:rPr>
          <w:u w:val="single"/>
        </w:rPr>
        <w:t xml:space="preserve">(ii) If the selling price is greater than four hundred fifty thousand dollars:</w:t>
      </w:r>
    </w:p>
    <w:p>
      <w:pPr>
        <w:spacing w:before="0" w:after="0" w:line="408" w:lineRule="exact"/>
        <w:ind w:left="0" w:right="0" w:firstLine="576"/>
        <w:jc w:val="left"/>
      </w:pPr>
      <w:r>
        <w:rPr>
          <w:u w:val="single"/>
        </w:rPr>
        <w:t xml:space="preserve">(A) One and one-half percent of any portion of the selling price that is greater than four hundred fifty thousand dollars and equal to or less than nine hundred thousand dollars;</w:t>
      </w:r>
    </w:p>
    <w:p>
      <w:pPr>
        <w:spacing w:before="0" w:after="0" w:line="408" w:lineRule="exact"/>
        <w:ind w:left="0" w:right="0" w:firstLine="576"/>
        <w:jc w:val="left"/>
      </w:pPr>
      <w:r>
        <w:rPr>
          <w:u w:val="single"/>
        </w:rPr>
        <w:t xml:space="preserve">(B) Two percent of any portion of the selling price that is greater than nine hundred thousand dollars and equal to or less than one million eight hundred thousand dollars;</w:t>
      </w:r>
    </w:p>
    <w:p>
      <w:pPr>
        <w:spacing w:before="0" w:after="0" w:line="408" w:lineRule="exact"/>
        <w:ind w:left="0" w:right="0" w:firstLine="576"/>
        <w:jc w:val="left"/>
      </w:pPr>
      <w:r>
        <w:rPr>
          <w:u w:val="single"/>
        </w:rPr>
        <w:t xml:space="preserve">(C) Two and one-half percent of any portion of the selling price that is greater than one million eight hundred thousand dollars and equal to or less than three million six hundred thousand dollars; and</w:t>
      </w:r>
    </w:p>
    <w:p>
      <w:pPr>
        <w:spacing w:before="0" w:after="0" w:line="408" w:lineRule="exact"/>
        <w:ind w:left="0" w:right="0" w:firstLine="576"/>
        <w:jc w:val="left"/>
      </w:pPr>
      <w:r>
        <w:rPr>
          <w:u w:val="single"/>
        </w:rPr>
        <w:t xml:space="preserve">(D) Three percent of any portion of the selling price that is greater than three million six hundred thousand dollars.</w:t>
      </w:r>
    </w:p>
    <w:p>
      <w:pPr>
        <w:spacing w:before="0" w:after="0" w:line="408" w:lineRule="exact"/>
        <w:ind w:left="0" w:right="0" w:firstLine="576"/>
        <w:jc w:val="left"/>
      </w:pPr>
      <w:r>
        <w:rPr>
          <w:u w:val="single"/>
        </w:rPr>
        <w:t xml:space="preserve">(4)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(3)(b)(i)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(3)(b)(ii)(A) through (C) of this section by the dollar amount of the selling price threshold in subsection (3)(b)(i) of this section if increased under (a) of this subsection (4).</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1st of every fourth year, beginning January 1, 2023.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the updated selling price thresholds to the fiscal committees of the legislature within six months of publication.</w:t>
      </w:r>
    </w:p>
    <w:p>
      <w:pPr>
        <w:spacing w:before="0" w:after="0" w:line="408" w:lineRule="exact"/>
        <w:ind w:left="0" w:right="0" w:firstLine="576"/>
        <w:jc w:val="left"/>
      </w:pPr>
      <w:r>
        <w:rPr>
          <w:u w:val="single"/>
        </w:rPr>
        <w:t xml:space="preserve">(5)(a)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u w:val="single"/>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"Development" means any improvement, alteration, modification, maintenance, or use of land that requires a permit or approval from a state or local government permitting authority including, but not limited to, a building permit, grading permit, shoreline substantial development permit, conditional use permit, special use permit, zoning variance or reclassification, subdivision, short subdivision, urban planned development, binding site plan, site development permit, right-of-way use permit, or hydraulic project approval.</w:t>
      </w:r>
    </w:p>
    <w:p>
      <w:pPr>
        <w:spacing w:before="0" w:after="0" w:line="408" w:lineRule="exact"/>
        <w:ind w:left="0" w:right="0" w:firstLine="576"/>
        <w:jc w:val="left"/>
      </w:pPr>
      <w:r>
        <w:rPr>
          <w:u w:val="single"/>
        </w:rPr>
        <w:t xml:space="preserve">(d)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(e) "Impervious surface" means a hard surface area that either prevents or retards the entry of water into the soil mantle as under natural conditions before development or that causes water to run off the surface in greater quantities or at an increased rate of flow from the flow present under natural conditions before development. "Impervious surface" includes, but is not limited to, roofs, walkways, patios, driveways, parking lots, storage areas, areas that are paved, graveled, or made of packed or oiled earthen materials, or other surfaces that similarly impede the natural infiltration of surface water or stormwater. "Impervious surfaces" include areas covered with any type of permeable pavement, such as porous asphalt, pervious concrete, permeable interlocking concrete pavers, and other permeable pavers.</w:t>
      </w:r>
    </w:p>
    <w:p>
      <w:pPr>
        <w:spacing w:before="0" w:after="0" w:line="408" w:lineRule="exact"/>
        <w:ind w:left="0" w:right="0" w:firstLine="576"/>
        <w:jc w:val="left"/>
      </w:pPr>
      <w:r>
        <w:rPr>
          <w:u w:val="single"/>
        </w:rPr>
        <w:t xml:space="preserve">(f) "Open space land" means land classified as open space land under chapter 84.34 RCW, including any structures on such land.</w:t>
      </w:r>
    </w:p>
    <w:p>
      <w:pPr>
        <w:spacing w:before="0" w:after="0" w:line="408" w:lineRule="exact"/>
        <w:ind w:left="0" w:right="0" w:firstLine="576"/>
        <w:jc w:val="left"/>
      </w:pPr>
      <w:r>
        <w:rPr>
          <w:u w:val="single"/>
        </w:rPr>
        <w:t xml:space="preserve">(g) "Timberland" means land classified under chapter 84.34 RCW or designated under chapter 84.33 RCW, including any structures on such land, and standing timber sold apart from the land upon which it sits.</w:t>
      </w:r>
    </w:p>
    <w:p>
      <w:pPr>
        <w:spacing w:before="0" w:after="0" w:line="408" w:lineRule="exact"/>
        <w:ind w:left="0" w:right="0" w:firstLine="576"/>
        <w:jc w:val="left"/>
      </w:pPr>
      <w:r>
        <w:rPr>
          <w:u w:val="single"/>
        </w:rPr>
        <w:t xml:space="preserve">(h) "Undeveloped land" means any land unaltered from the natural state by the construction, creation, or addition of structures or impervious surfaces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(1)(a) By December 1st of each year, beginning January 1, 2020, the department must calculate:</w:t>
      </w:r>
    </w:p>
    <w:p>
      <w:pPr>
        <w:spacing w:before="0" w:after="0" w:line="408" w:lineRule="exact"/>
        <w:ind w:left="0" w:right="0" w:firstLine="576"/>
        <w:jc w:val="left"/>
      </w:pPr>
      <w:r>
        <w:rPr/>
        <w:t xml:space="preserve">(i) The proceeds of tax imposed pursuant to RCW 82.45.060 generated during the most recently completed fiscal year; and</w:t>
      </w:r>
    </w:p>
    <w:p>
      <w:pPr>
        <w:spacing w:before="0" w:after="0" w:line="408" w:lineRule="exact"/>
        <w:ind w:left="0" w:right="0" w:firstLine="576"/>
        <w:jc w:val="left"/>
      </w:pPr>
      <w:r>
        <w:rPr/>
        <w:t xml:space="preserve">(ii) The estimated amount of proceeds the tax imposed pursuant to RCW 82.45.060 would have generated during the most recently completed fiscal year, if the rate of this tax had been one and twenty-eight one-hundredths percent for all taxable transactions during the most recently completed fiscal year.</w:t>
      </w:r>
    </w:p>
    <w:p>
      <w:pPr>
        <w:spacing w:before="0" w:after="0" w:line="408" w:lineRule="exact"/>
        <w:ind w:left="0" w:right="0" w:firstLine="576"/>
        <w:jc w:val="left"/>
      </w:pPr>
      <w:r>
        <w:rPr/>
        <w:t xml:space="preserve">(b) By December 31st of each year, beginning January 1, 2020, the department must notify the state treasurer of the calculations under this subsection (1) and the proceeds of the tax imposed under RCW 82.45.060 must be distributed as provided in subsections (2) and (3) of this section.</w:t>
      </w:r>
    </w:p>
    <w:p>
      <w:pPr>
        <w:spacing w:before="0" w:after="0" w:line="408" w:lineRule="exact"/>
        <w:ind w:left="0" w:right="0" w:firstLine="576"/>
        <w:jc w:val="left"/>
      </w:pPr>
      <w:r>
        <w:rPr/>
        <w:t xml:space="preserve">(2) For the amount of proceeds equal to the amount calculated in subsection (1)(a)(ii) of this section, the funds must be distributed as follows:</w:t>
      </w:r>
    </w:p>
    <w:p>
      <w:pPr>
        <w:spacing w:before="0" w:after="0" w:line="408" w:lineRule="exact"/>
        <w:ind w:left="0" w:right="0" w:firstLine="576"/>
        <w:jc w:val="left"/>
      </w:pPr>
      <w:r>
        <w:rPr/>
        <w:t xml:space="preserve">(a) Beginning January 1, 2020, through June 30, 2023, an amount equal to:</w:t>
      </w:r>
    </w:p>
    <w:p>
      <w:pPr>
        <w:spacing w:before="0" w:after="0" w:line="408" w:lineRule="exact"/>
        <w:ind w:left="0" w:right="0" w:firstLine="576"/>
        <w:jc w:val="left"/>
      </w:pPr>
      <w:r>
        <w:rPr/>
        <w:t xml:space="preserve">(i) Two percent of the proceeds calculated in subsection (1)(a)(ii) of this section must be deposited in the public works assistance account created in RCW 43.155.050;</w:t>
      </w:r>
    </w:p>
    <w:p>
      <w:pPr>
        <w:spacing w:before="0" w:after="0" w:line="408" w:lineRule="exact"/>
        <w:ind w:left="0" w:right="0" w:firstLine="576"/>
        <w:jc w:val="left"/>
      </w:pPr>
      <w:r>
        <w:rPr/>
        <w:t xml:space="preserve">(ii) Four and one-tenth percent of the proceeds calculated in subsection (1)(a)(ii) of this section must be deposited in the education legacy trust account created in RCW 83.100.230; and</w:t>
      </w:r>
    </w:p>
    <w:p>
      <w:pPr>
        <w:spacing w:before="0" w:after="0" w:line="408" w:lineRule="exact"/>
        <w:ind w:left="0" w:right="0" w:firstLine="576"/>
        <w:jc w:val="left"/>
      </w:pPr>
      <w:r>
        <w:rPr/>
        <w:t xml:space="preserve">(iii) The remaining proceeds must be deposited in the general fund.</w:t>
      </w:r>
    </w:p>
    <w:p>
      <w:pPr>
        <w:spacing w:before="0" w:after="0" w:line="408" w:lineRule="exact"/>
        <w:ind w:left="0" w:right="0" w:firstLine="576"/>
        <w:jc w:val="left"/>
      </w:pPr>
      <w:r>
        <w:rPr/>
        <w:t xml:space="preserve">(b)(i) Beginning July 1, 2023, an amount equal to six and one-tenth percent of the proceeds calculated in subsection (1)(a)(ii) of this section must be deposited in the public works assistance account created in RCW 43.155.050; and</w:t>
      </w:r>
    </w:p>
    <w:p>
      <w:pPr>
        <w:spacing w:before="0" w:after="0" w:line="408" w:lineRule="exact"/>
        <w:ind w:left="0" w:right="0" w:firstLine="576"/>
        <w:jc w:val="left"/>
      </w:pPr>
      <w:r>
        <w:rPr/>
        <w:t xml:space="preserve">(ii) The remaining proceeds must be deposited in the general fund.</w:t>
      </w:r>
    </w:p>
    <w:p>
      <w:pPr>
        <w:spacing w:before="0" w:after="0" w:line="408" w:lineRule="exact"/>
        <w:ind w:left="0" w:right="0" w:firstLine="576"/>
        <w:jc w:val="left"/>
      </w:pPr>
      <w:r>
        <w:rPr/>
        <w:t xml:space="preserve">(3) The remaining proceeds that were not distributed in subsection (2) of this section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twelve-</w:t>
      </w:r>
      <w:r>
        <w:t>))</w:t>
      </w:r>
      <w:r>
        <w:rPr/>
        <w:t xml:space="preserve"> </w:t>
      </w:r>
      <w:r>
        <w:rPr>
          <w:u w:val="single"/>
        </w:rPr>
        <w:t xml:space="preserve">thirty-six</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twelve-</w:t>
      </w:r>
      <w:r>
        <w:t>))</w:t>
      </w:r>
      <w:r>
        <w:rPr/>
        <w:t xml:space="preserve"> </w:t>
      </w:r>
      <w:r>
        <w:rPr>
          <w:u w:val="single"/>
        </w:rPr>
        <w:t xml:space="preserve">thirty-six</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twelve-</w:t>
      </w:r>
      <w:r>
        <w:t>))</w:t>
      </w:r>
      <w:r>
        <w:rPr/>
        <w:t xml:space="preserve"> </w:t>
      </w:r>
      <w:r>
        <w:rPr>
          <w:u w:val="single"/>
        </w:rPr>
        <w:t xml:space="preserve">thirty-six</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033</w:t>
      </w:r>
      <w:r>
        <w:rPr/>
        <w:t xml:space="preserve"> and 2010 1st sp.s. c 23 s 208 are each amended to read as follows:</w:t>
      </w:r>
    </w:p>
    <w:p>
      <w:pPr>
        <w:spacing w:before="0" w:after="0" w:line="408" w:lineRule="exact"/>
        <w:ind w:left="0" w:right="0" w:firstLine="576"/>
        <w:jc w:val="left"/>
      </w:pPr>
      <w:r>
        <w:rPr/>
        <w:t xml:space="preserve">(1) As used in this chapter, the term "controlling interest" has the following meaning:</w:t>
      </w:r>
    </w:p>
    <w:p>
      <w:pPr>
        <w:spacing w:before="0" w:after="0" w:line="408" w:lineRule="exact"/>
        <w:ind w:left="0" w:right="0" w:firstLine="576"/>
        <w:jc w:val="left"/>
      </w:pPr>
      <w:r>
        <w:rPr/>
        <w:t xml:space="preserve">(a) In the case of a </w:t>
      </w:r>
      <w:r>
        <w:rPr>
          <w:u w:val="single"/>
        </w:rPr>
        <w:t xml:space="preserve">profit</w:t>
      </w:r>
      <w:r>
        <w:rPr/>
        <w:t xml:space="preserve"> corporation, either fifty percent or more of the total combined voting power of all classes of stock of the corporation entitled to vote, or fifty percent of the capital, profits, or beneficial interest in the voting stock of the corporation; and</w:t>
      </w:r>
    </w:p>
    <w:p>
      <w:pPr>
        <w:spacing w:before="0" w:after="0" w:line="408" w:lineRule="exact"/>
        <w:ind w:left="0" w:right="0" w:firstLine="576"/>
        <w:jc w:val="left"/>
      </w:pPr>
      <w:r>
        <w:rPr/>
        <w:t xml:space="preserve">(b) In the case of </w:t>
      </w:r>
      <w:r>
        <w:rPr>
          <w:u w:val="single"/>
        </w:rPr>
        <w:t xml:space="preserve">any other corporation, or</w:t>
      </w:r>
      <w:r>
        <w:rPr/>
        <w:t xml:space="preserve"> a partnership, association, trust, or other entity, fifty percent or more of the capital, profits, or beneficial interest in such </w:t>
      </w:r>
      <w:r>
        <w:rPr>
          <w:u w:val="single"/>
        </w:rPr>
        <w:t xml:space="preserve">corporation,</w:t>
      </w:r>
      <w:r>
        <w:rPr/>
        <w:t xml:space="preserve"> partnership, association, trust, or other entity.</w:t>
      </w:r>
    </w:p>
    <w:p>
      <w:pPr>
        <w:spacing w:before="0" w:after="0" w:line="408" w:lineRule="exact"/>
        <w:ind w:left="0" w:right="0" w:firstLine="576"/>
        <w:jc w:val="left"/>
      </w:pPr>
      <w:r>
        <w:rPr/>
        <w:t xml:space="preserve">(2) The department may, at the department's option, enforce the obligation of the seller under this chapter as provided in this subsection (2):</w:t>
      </w:r>
    </w:p>
    <w:p>
      <w:pPr>
        <w:spacing w:before="0" w:after="0" w:line="408" w:lineRule="exact"/>
        <w:ind w:left="0" w:right="0" w:firstLine="576"/>
        <w:jc w:val="left"/>
      </w:pPr>
      <w:r>
        <w:rPr/>
        <w:t xml:space="preserve">(a) In the transfer or acquisition of a controlling interest as defined in subsection (1)(a) of this section, either against the corporation in which a controlling interest is transferred or acquired, against the person or persons who acquired the controlling interest in the corporation or, when the corporation is not a publicly traded company, against the person or persons who transferred the controlling interest in the corporation; and</w:t>
      </w:r>
    </w:p>
    <w:p>
      <w:pPr>
        <w:spacing w:before="0" w:after="0" w:line="408" w:lineRule="exact"/>
        <w:ind w:left="0" w:right="0" w:firstLine="576"/>
        <w:jc w:val="left"/>
      </w:pPr>
      <w:r>
        <w:rPr/>
        <w:t xml:space="preserve">(b) In the transfer or acquisition of a controlling interest as defined in subsection (1)(b) of this section, either against the entity in which a controlling interest is transferred or acquired or against the person or persons who transferred or acquired the controlling interest in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legislature recognizes that in adopting a graduated tax rate structure providing for increased tax rates for sales of highly valued property, while also exempting certain types of property from the increased tax rates, some taxpayers will attempt to avoid or reduce the tax imposed in this chapter by structuring transactions in a way that serves no meaningful purpose other than to reduce tax due under this chapter.</w:t>
      </w:r>
    </w:p>
    <w:p>
      <w:pPr>
        <w:spacing w:before="0" w:after="0" w:line="408" w:lineRule="exact"/>
        <w:ind w:left="0" w:right="0" w:firstLine="576"/>
        <w:jc w:val="left"/>
      </w:pPr>
      <w:r>
        <w:rPr/>
        <w:t xml:space="preserve">(1)(a) When necessary to deny the tax benefit that would otherwise accrue from engaging in one or more related transactions designed to avoid tax under this chapter, the department is authorized to disregard the form of the transaction or series of transactions and determine the proper tax treatment under this chapter based on the substance of the transaction or transactions. In exercising this authority, the department may consider the factors described in RCW 82.32.655(2) (a), (b), (c), and (f).</w:t>
      </w:r>
    </w:p>
    <w:p>
      <w:pPr>
        <w:spacing w:before="0" w:after="0" w:line="408" w:lineRule="exact"/>
        <w:ind w:left="0" w:right="0" w:firstLine="576"/>
        <w:jc w:val="left"/>
      </w:pPr>
      <w:r>
        <w:rPr/>
        <w:t xml:space="preserve">(b) The authority provided in this subsection includes, but is not limited to, treating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w:t>
      </w:r>
    </w:p>
    <w:p>
      <w:pPr>
        <w:spacing w:before="0" w:after="0" w:line="408" w:lineRule="exact"/>
        <w:ind w:left="0" w:right="0" w:firstLine="576"/>
        <w:jc w:val="left"/>
      </w:pPr>
      <w:r>
        <w:rPr/>
        <w:t xml:space="preserve">(2) The department is encouraged to provide guidance to the public concerning the department's implementation of this section, whether by rule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390</w:t>
      </w:r>
      <w:r>
        <w:rPr/>
        <w:t xml:space="preserve"> and 2010 1st sp.s. c 23 s 213 are each amended to read as follows:</w:t>
      </w:r>
    </w:p>
    <w:p>
      <w:pPr>
        <w:spacing w:before="0" w:after="0" w:line="408" w:lineRule="exact"/>
        <w:ind w:left="0" w:right="0" w:firstLine="576"/>
        <w:jc w:val="left"/>
      </w:pPr>
      <w:r>
        <w:rPr/>
        <w:t xml:space="preserve">(1)(a) The secretary of state must adopt rules requiring any entity that is required to file an annual report with the secretary of state, including entities under Titles 23, 23B, 24, and 25 RCW, to disclose: (i) Any transfer of the controlling interest in the entity </w:t>
      </w:r>
      <w:r>
        <w:rPr>
          <w:u w:val="single"/>
        </w:rPr>
        <w:t xml:space="preserve">or an interest that amounts to at least one-third of a controlling interest in the entity</w:t>
      </w:r>
      <w:r>
        <w:rPr/>
        <w:t xml:space="preserve">; and (ii) the granting of any option to acquire an interest </w:t>
      </w:r>
      <w:r>
        <w:t>((</w:t>
      </w:r>
      <w:r>
        <w:rPr>
          <w:strike/>
        </w:rPr>
        <w:t xml:space="preserve">in the entity if the exercise of the option would result in a sale as defined in RCW 82.45.010(2)</w:t>
      </w:r>
      <w:r>
        <w:t>))</w:t>
      </w:r>
      <w:r>
        <w:rPr/>
        <w:t xml:space="preserve"> </w:t>
      </w:r>
      <w:r>
        <w:rPr>
          <w:u w:val="single"/>
        </w:rPr>
        <w:t xml:space="preserve">described in (a)(i) of this subsection</w:t>
      </w:r>
      <w:r>
        <w:rPr/>
        <w:t xml:space="preserve">.</w:t>
      </w:r>
    </w:p>
    <w:p>
      <w:pPr>
        <w:spacing w:before="0" w:after="0" w:line="408" w:lineRule="exact"/>
        <w:ind w:left="0" w:right="0" w:firstLine="576"/>
        <w:jc w:val="left"/>
      </w:pPr>
      <w:r>
        <w:rPr/>
        <w:t xml:space="preserve">(b) The disclosure requirement in this subsection only applies to entities owning an interest in real property located in this state.</w:t>
      </w:r>
    </w:p>
    <w:p>
      <w:pPr>
        <w:spacing w:before="0" w:after="0" w:line="408" w:lineRule="exact"/>
        <w:ind w:left="0" w:right="0" w:firstLine="576"/>
        <w:jc w:val="left"/>
      </w:pPr>
      <w:r>
        <w:rPr/>
        <w:t xml:space="preserve">(2) This information must be made available to the department of revenue upon request for the purposes of tracking the transfer of the controlling interest in entities owning real property and to determine when the real estate excise tax is applicable in such cases.</w:t>
      </w:r>
    </w:p>
    <w:p>
      <w:pPr>
        <w:spacing w:before="0" w:after="0" w:line="408" w:lineRule="exact"/>
        <w:ind w:left="0" w:right="0" w:firstLine="576"/>
        <w:jc w:val="left"/>
      </w:pPr>
      <w:r>
        <w:rPr/>
        <w:t xml:space="preserve">(3) For the purposes of this section, "controlling interest" has the same meaning as provided in RCW 82.45.033.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220</w:t>
      </w:r>
      <w:r>
        <w:rPr/>
        <w:t xml:space="preserve"> and 2010 1st sp.s. c 23 s 212 are each amended to read as follows:</w:t>
      </w:r>
    </w:p>
    <w:p>
      <w:pPr>
        <w:spacing w:before="0" w:after="0" w:line="408" w:lineRule="exact"/>
        <w:ind w:left="0" w:right="0" w:firstLine="576"/>
        <w:jc w:val="left"/>
      </w:pPr>
      <w:r>
        <w:rPr/>
        <w:t xml:space="preserve">(1) An organization that fails to report </w:t>
      </w:r>
      <w:r>
        <w:t>((</w:t>
      </w:r>
      <w:r>
        <w:rPr>
          <w:strike/>
        </w:rPr>
        <w:t xml:space="preserve">a transfer of the controlling interest in the organization under RCW 43.07.390 to the secretary of state and is later determined to be subject to real estate excise taxes due to the transfer,</w:t>
      </w:r>
      <w:r>
        <w:t>))</w:t>
      </w:r>
      <w:r>
        <w:rPr/>
        <w:t xml:space="preserve"> </w:t>
      </w:r>
      <w:r>
        <w:rPr>
          <w:u w:val="single"/>
        </w:rPr>
        <w:t xml:space="preserve">to the secretary of state a transfer of an interest in the organization as required under RCW 43.07.390 and the transfer results in a sale as defined in RCW 82.45.010(2)</w:t>
      </w:r>
      <w:r>
        <w:rPr/>
        <w:t xml:space="preserve"> is subject to the provisions of RCW 82.45.100 as well as the evasion penalty in RCW 82.32.090(7).</w:t>
      </w:r>
    </w:p>
    <w:p>
      <w:pPr>
        <w:spacing w:before="0" w:after="0" w:line="408" w:lineRule="exact"/>
        <w:ind w:left="0" w:right="0" w:firstLine="576"/>
        <w:jc w:val="left"/>
      </w:pPr>
      <w:r>
        <w:rPr/>
        <w:t xml:space="preserve">(2) Subsection (1) of this section also applies to the failure to report to the secretary of state the granting of an option to acquire an interest in the organization if the exercise of the option would result in a sale as defined in RCW 82.45.010(2).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8c3f12f89d74e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e2e8aee7b49b7" /><Relationship Type="http://schemas.openxmlformats.org/officeDocument/2006/relationships/footer" Target="/word/footer1.xml" Id="R38c3f12f89d74e64" /></Relationships>
</file>