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a54ea1858401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Hawkins and Palumbo)</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energy through modifying tax incentives; adding a new section to chapter 82.08 RCW; adding a new section to chapter 82.12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contained in sections 2 and 3, chapter . . ., Laws of 2020 (sections 2 and 3 of this act). This performance statement is only intended to be used for subsequent evaluation of these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hydroelectric facilities to install oil-free adjustable blade hubs to reduce oil spills by reducing the price differential between oil-free systems and traditional oil-operated mechanisms.</w:t>
      </w:r>
    </w:p>
    <w:p>
      <w:pPr>
        <w:spacing w:before="0" w:after="0" w:line="408" w:lineRule="exact"/>
        <w:ind w:left="0" w:right="0" w:firstLine="576"/>
        <w:jc w:val="left"/>
      </w:pPr>
      <w:r>
        <w:rPr/>
        <w:t xml:space="preserve">(4) If a review finds that a majority of new or replacement turbines incorporate oil-free adjustable blade hubs, and oil-free systems continue to cost more than traditional systems,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must incorporate data provided by public utility districts and businesses operating hydroelectric facilities that claim the exemptions authorized in sections 2 and 3, chapter . . ., Laws of 2020 (sections 2 and 3 of this act), as well as information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(2)(a) The exemption under this section is in the form of a remittance and applies only to the state sales tax. A person claiming an exemption from state tax in the form of a remittance under this section must pay all state and local sales and use taxes. The buyer may then apply to the department for remittance of one hundred percent of the tax paid under RCW 82.08.020 and 82.12.020.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oil-free adjustable blade hub and related labor and services meet the criteria under this section: Invoices; proof of tax paid; documents describing the equipment;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With respect to a project to install oil-free adjustable blade hubs, before the department may remit exempted amounts to qualifying persons, the department of labor and industries must have certified that the project compensates workers at prevailing wage rates determined by local collective bargaining as determined by the department of labor and industries.</w:t>
      </w:r>
    </w:p>
    <w:p>
      <w:pPr>
        <w:spacing w:before="0" w:after="0" w:line="408" w:lineRule="exact"/>
        <w:ind w:left="0" w:right="0" w:firstLine="576"/>
        <w:jc w:val="left"/>
      </w:pPr>
      <w:r>
        <w:rPr/>
        <w:t xml:space="preserve">(3) For the purposes of this section and section 3 of this act,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The definitions, conditions, and requirements under section 2 of this act apply to this section.</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fiscal impacts of this act, referencing this act by bill or chapter number, are not referenced by June 30, 2020, in the omnibus operating appropriations act, this act is null and void.</w:t>
      </w:r>
    </w:p>
    <w:p/>
    <w:p>
      <w:pPr>
        <w:jc w:val="center"/>
      </w:pPr>
      <w:r>
        <w:rPr>
          <w:b/>
        </w:rPr>
        <w:t>--- END ---</w:t>
      </w:r>
    </w:p>
    <w:sectPr>
      <w:pgNumType w:start="1"/>
      <w:footerReference xmlns:r="http://schemas.openxmlformats.org/officeDocument/2006/relationships" r:id="Rae37d491bf05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e061308ee940b6" /><Relationship Type="http://schemas.openxmlformats.org/officeDocument/2006/relationships/footer" Target="/word/footer1.xml" Id="Rae37d491bf0542ae" /></Relationships>
</file>