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f78406edac4612" /></Relationships>
</file>

<file path=word/document.xml><?xml version="1.0" encoding="utf-8"?>
<w:document xmlns:w="http://schemas.openxmlformats.org/wordprocessingml/2006/main">
  <w:body>
    <w:p>
      <w:r>
        <w:t>S-5027.1</w:t>
      </w:r>
    </w:p>
    <w:p>
      <w:pPr>
        <w:jc w:val="center"/>
      </w:pPr>
      <w:r>
        <w:t>_______________________________________________</w:t>
      </w:r>
    </w:p>
    <w:p/>
    <w:p>
      <w:pPr>
        <w:jc w:val="center"/>
      </w:pPr>
      <w:r>
        <w:rPr>
          <w:b/>
        </w:rPr>
        <w:t>SENATE BILL 6031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r>
        <w:rPr>
          <w:t xml:space="preserve">Prefiled 12/03/19.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46.17.323, 82.08.020, 82.44.065, 81.104.140, and 81.104.160; reenacting and amending RCW 46.17.350; adding a new section to chapter 46.17 RCW; adding a new section to chapter 82.44 RCW; adding a new section to chapter 81.112 RCW; creating new sections; repealing RCW 46.17.365, 46.68.415, 82.80.130, 82.80.140, 82.44.035, and 81.104.160;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BRING BACK OUR $30 CAR TABS POLICIES AND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Voters have repeatedly approved initiatives limiting vehicle costs, yet politicians keep ignoring the voters' repeated, unambiguous mandate by imposing higher and higher vehicle taxes and fees. It's not fair and it must stop. Without this follow-up ballot measure, vehicle costs will continue to skyrocket until vehicle charges are obscenely expensive, as they were prior to Initiative 695. This measure and each of its provisions limit state and local taxes, fees, and other charges relating to motor vehicles. This measure would limit annual motor vehicle license fees to $30, except voter-approved charges, repeal and remove authority to impose certain vehicle taxes and charges; and base vehicle taxes on Kelley Blue Book rather than the dishonest, inaccurate, and artificially inflated manufacturer's suggested retail price (MRSP). Voters have repeatedly approved initiatives limiting vehicle costs. Politicians must learn to listen to the people.</w:t>
      </w:r>
    </w:p>
    <w:p>
      <w:pPr>
        <w:spacing w:before="240" w:after="0" w:line="408" w:lineRule="exact"/>
        <w:ind w:left="0" w:right="0" w:firstLine="576"/>
        <w:jc w:val="center"/>
      </w:pPr>
      <w:r>
        <w:rPr>
          <w:b/>
        </w:rPr>
        <w:t xml:space="preserve">LIMITING ANNUAL MOTOR-VEHICLE-LICENSE FEES TO $30,</w:t>
      </w:r>
    </w:p>
    <w:p>
      <w:pPr>
        <w:spacing w:before="0" w:after="0" w:line="408" w:lineRule="exact"/>
        <w:ind w:left="0" w:right="0" w:firstLine="576"/>
        <w:jc w:val="center"/>
      </w:pPr>
      <w:r>
        <w:rPr>
          <w:b/>
        </w:rPr>
        <w:t xml:space="preserve">EXCEPT VOTER-APPROVED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w:t>
      </w:r>
    </w:p>
    <w:p>
      <w:pPr>
        <w:spacing w:before="0" w:after="0" w:line="408" w:lineRule="exact"/>
        <w:ind w:left="0" w:right="0" w:firstLine="0"/>
        <w:jc w:val="left"/>
      </w:pPr>
      <w:r>
        <w:rPr/>
        <w:t xml:space="preserve">$30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2020 c ... s 3 (Initiative Measure No. 976)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$30.</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$30 fee</w:t>
      </w:r>
      <w:r>
        <w:rPr/>
        <w:t xml:space="preserve">. The </w:t>
      </w:r>
      <w:r>
        <w:t>((</w:t>
      </w:r>
      <w:r>
        <w:rPr>
          <w:strike/>
        </w:rPr>
        <w:t xml:space="preserve">one hundred thirty dollar</w:t>
      </w:r>
      <w:r>
        <w:t>))</w:t>
      </w:r>
      <w:r>
        <w:rPr/>
        <w:t xml:space="preserve"> </w:t>
      </w:r>
      <w:r>
        <w:rPr>
          <w:u w:val="single"/>
        </w:rPr>
        <w:t xml:space="preserve">$30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240" w:after="0" w:line="408" w:lineRule="exact"/>
        <w:ind w:left="0" w:right="0" w:firstLine="576"/>
        <w:jc w:val="center"/>
      </w:pPr>
      <w:r>
        <w:rPr>
          <w:b/>
        </w:rPr>
        <w:t xml:space="preserve">REPEAL AND REMOVE AUTHORITY TO IMPOSE</w:t>
      </w:r>
    </w:p>
    <w:p>
      <w:pPr>
        <w:spacing w:before="0" w:after="0" w:line="408" w:lineRule="exact"/>
        <w:ind w:left="0" w:right="0" w:firstLine="576"/>
        <w:jc w:val="center"/>
      </w:pPr>
      <w:r>
        <w:rPr>
          <w:b/>
        </w:rPr>
        <w:t xml:space="preserve">CERTAIN VEHICLE TAXES AND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130</w:t>
      </w:r>
      <w:r>
        <w:rPr/>
        <w:t xml:space="preserve"> (Passenger-only ferry service</w:t>
      </w:r>
      <w:r>
        <w:rPr>
          <w:rFonts w:ascii="Times New Roman" w:hAnsi="Times New Roman"/>
        </w:rPr>
        <w:t xml:space="preserve">—</w:t>
      </w:r>
      <w:r>
        <w:rPr/>
        <w:t xml:space="preserve">Local option motor vehicle excise tax authorized) and 2010 c 161 s 916, 2006 c 318 s 4, &amp; 2003 c 83 s 206; and</w:t>
      </w:r>
    </w:p>
    <w:p>
      <w:pPr>
        <w:spacing w:before="0" w:after="0" w:line="408" w:lineRule="exact"/>
        <w:ind w:left="0" w:right="0" w:firstLine="576"/>
        <w:jc w:val="left"/>
      </w:pPr>
      <w:r>
        <w:t>(4)</w:t>
      </w:r>
      <w:r>
        <w:rPr/>
        <w:t xml:space="preserve">RCW </w:t>
      </w:r>
      <w:r>
        <w:t xml:space="preserve">82</w:t>
      </w:r>
      <w:r>
        <w:rPr/>
        <w:t xml:space="preserve">.</w:t>
      </w:r>
      <w:r>
        <w:t xml:space="preserve">80</w:t>
      </w:r>
      <w:r>
        <w:rPr/>
        <w:t xml:space="preserve">.</w:t>
      </w:r>
      <w:r>
        <w:t xml:space="preserve">140</w:t>
      </w:r>
      <w:r>
        <w:rPr/>
        <w:t xml:space="preserve"> (Vehicle fee</w:t>
      </w:r>
      <w:r>
        <w:rPr>
          <w:rFonts w:ascii="Times New Roman" w:hAnsi="Times New Roman"/>
        </w:rPr>
        <w:t xml:space="preserve">—</w:t>
      </w:r>
      <w:r>
        <w:rPr/>
        <w:t xml:space="preserve">Transportation benefit district</w:t>
      </w:r>
      <w:r>
        <w:rPr>
          <w:rFonts w:ascii="Times New Roman" w:hAnsi="Times New Roman"/>
        </w:rPr>
        <w:t xml:space="preserve">—</w:t>
      </w:r>
      <w:r>
        <w:rPr/>
        <w:t xml:space="preserve">Exemptions) and 2015 3rd sp.s. c 44 s 310, 2010 c 161 s 917, 2007 c 329 s 2, &amp; 2005 c 336 s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w:t>
      </w:r>
      <w:r>
        <w:t>((</w:t>
      </w:r>
      <w:r>
        <w:rPr>
          <w:strike/>
        </w:rPr>
        <w:t xml:space="preserve">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strike/>
        </w:rPr>
        <w:t xml:space="preserve">(4) 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p>
    <w:p>
      <w:pPr>
        <w:spacing w:before="0" w:after="0" w:line="408" w:lineRule="exact"/>
        <w:ind w:left="0" w:right="0" w:firstLine="576"/>
        <w:jc w:val="left"/>
      </w:pPr>
      <w:r>
        <w:rPr>
          <w:strike/>
        </w:rPr>
        <w:t xml:space="preserve">(5)</w:t>
      </w:r>
      <w:r>
        <w:t>))</w:t>
      </w:r>
      <w:r>
        <w:rPr/>
        <w:t xml:space="preserve">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rates provided in this section apply to taxes imposed under chapter 82.12 RCW as provided in RCW 82.12.020.</w:t>
      </w:r>
    </w:p>
    <w:p>
      <w:pPr>
        <w:spacing w:before="240" w:after="0" w:line="408" w:lineRule="exact"/>
        <w:ind w:left="0" w:right="0" w:firstLine="576"/>
        <w:jc w:val="center"/>
      </w:pPr>
      <w:r>
        <w:rPr>
          <w:b/>
        </w:rPr>
        <w:t xml:space="preserve">BASE VEHICLE TAXES USING KELLEY BLUE BOOK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BASE VEHICLE TAXES USING KELLEY BLUE BOOK VALUE. Any motor vehicle excise tax must be calculated in an honest and accurate way so the burden on vehicle owners is not artificially inflated. For the purpose of determining a vehicle tax, a taxing district imposing a vehicle tax must set a vehicle's taxable value at the vehicle's base model Kelley Blue book value. This ensures an honest and accurate calculation of the tax and, combined with the appeal process in RCW 82.44.065, ensures that vehicle owners are taxed on their vehicle's market value.</w:t>
      </w:r>
    </w:p>
    <w:p>
      <w:pPr>
        <w:spacing w:before="0" w:after="0" w:line="408" w:lineRule="exact"/>
        <w:ind w:left="0" w:right="0" w:firstLine="576"/>
        <w:jc w:val="left"/>
      </w:pPr>
      <w:r>
        <w:rPr/>
        <w:t xml:space="preserve">(2) For the purpose of determining a tax under this chapter, the value of a truck-type power or trailing unit, or motor vehicle, including a passenger vehicle, motorcycle, motor home, sport utility vehicle, or light duty truck is the base model Kelley Blue book value of the vehicle, excluding applicable federal excise taxes, state and local sales or use taxes, transportation or shipping costs, or preparatory or delivery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 truck or trailer under RCW 82.44.035</w:t>
      </w:r>
      <w:r>
        <w:t>))</w:t>
      </w:r>
      <w:r>
        <w:rPr/>
        <w:t xml:space="preserve"> </w:t>
      </w:r>
      <w:r>
        <w:rPr>
          <w:u w:val="single"/>
        </w:rPr>
        <w:t xml:space="preserve">under section 8 of this act</w:t>
      </w:r>
      <w:r>
        <w:rPr/>
        <w:t xml:space="preserve">, any person who pays a </w:t>
      </w:r>
      <w:r>
        <w:rPr>
          <w:u w:val="single"/>
        </w:rPr>
        <w:t xml:space="preserve">state or</w:t>
      </w:r>
      <w:r>
        <w:rPr/>
        <w:t xml:space="preserve"> locally imposed tax for that vehicle may appeal the valuation to the department under chapter 34.05 RCW. If the taxpayer is successful on appeal, the department shall refund the excess tax in the manner provided in RCW 82.44.120. </w:t>
      </w:r>
      <w:r>
        <w:rPr>
          <w:u w:val="single"/>
        </w:rPr>
        <w:t xml:space="preserve">Using Kelley Blue Book value ensures an honest and accurate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and 81.104.175,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w:t>
      </w:r>
      <w:r>
        <w:t>((</w:t>
      </w:r>
      <w:r>
        <w:rPr>
          <w:strike/>
        </w:rPr>
        <w:t xml:space="preserve">Special motor vehicle excise tax as provided in RCW 81.104.160;</w:t>
      </w:r>
    </w:p>
    <w:p>
      <w:pPr>
        <w:spacing w:before="0" w:after="0" w:line="408" w:lineRule="exact"/>
        <w:ind w:left="0" w:right="0" w:firstLine="576"/>
        <w:jc w:val="left"/>
      </w:pPr>
      <w:r>
        <w:rPr>
          <w:strike/>
        </w:rPr>
        <w:t xml:space="preserve">(iii)</w:t>
      </w:r>
      <w:r>
        <w:t>))</w:t>
      </w:r>
      <w:r>
        <w:rPr/>
        <w:t xml:space="preserve"> Regular property tax as provided in 81.104.175;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Sales and use tax as provided in RCW 81.104.170.</w:t>
      </w:r>
    </w:p>
    <w:p>
      <w:pPr>
        <w:spacing w:before="0" w:after="0" w:line="408" w:lineRule="exact"/>
        <w:ind w:left="0" w:right="0" w:firstLine="576"/>
        <w:jc w:val="left"/>
      </w:pPr>
      <w:r>
        <w:rPr/>
        <w:t xml:space="preserve">(b) Revenues from these taxes may be used only to support those purposes prescribed in subsection (10) of this section. Before the date of an election authorizing an agency to impose any of the taxes enumerated in this section and authorized in RCW 81.104.150, 81.104.160, 81.104.170, and 81.104.175,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Except for the regular property tax authorized in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(8) of this section.</w:t>
      </w:r>
    </w:p>
    <w:p>
      <w:pPr>
        <w:spacing w:before="0" w:after="0" w:line="408" w:lineRule="exact"/>
        <w:ind w:left="0" w:right="0" w:firstLine="576"/>
        <w:jc w:val="left"/>
      </w:pPr>
      <w:r>
        <w:rPr/>
        <w:t xml:space="preserve">(8) Agencies must provide to the registered voters in the area a document describing the systems plan and the financing plan set forth in RCW 81.104.100.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rPr/>
        <w:t xml:space="preserve">(10)(a)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w:t>
      </w:r>
      <w:r>
        <w:t>((</w:t>
      </w:r>
      <w:r>
        <w:rPr>
          <w:strike/>
        </w:rPr>
        <w:t xml:space="preserve">imposes a motor vehicle excise tax after the effective date of this section,</w:t>
      </w:r>
      <w:r>
        <w:t>))</w:t>
      </w:r>
      <w:r>
        <w:rPr/>
        <w:t xml:space="preserve"> imposes a property tax</w:t>
      </w:r>
      <w:r>
        <w:t>((</w:t>
      </w:r>
      <w:r>
        <w:rPr>
          <w:strike/>
        </w:rPr>
        <w:t xml:space="preserve">,</w:t>
      </w:r>
      <w:r>
        <w:t>))</w:t>
      </w:r>
      <w:r>
        <w:rPr/>
        <w:t xml:space="preserve">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and</w:t>
      </w:r>
    </w:p>
    <w:p>
      <w:pPr>
        <w:spacing w:before="0" w:after="0" w:line="408" w:lineRule="exact"/>
        <w:ind w:left="0" w:right="0" w:firstLine="576"/>
        <w:jc w:val="left"/>
      </w:pPr>
      <w:r>
        <w:t>(2)</w:t>
      </w:r>
      <w:r>
        <w:rPr/>
        <w:t xml:space="preserve">RCW </w:t>
      </w:r>
      <w:r>
        <w:t xml:space="preserve">81</w:t>
      </w:r>
      <w:r>
        <w:rPr/>
        <w:t xml:space="preserve">.</w:t>
      </w:r>
      <w:r>
        <w:t xml:space="preserve">104</w:t>
      </w:r>
      <w:r>
        <w:rPr/>
        <w:t xml:space="preserve">.</w:t>
      </w:r>
      <w:r>
        <w:t xml:space="preserve">160</w:t>
      </w:r>
      <w:r>
        <w:rPr/>
        <w:t xml:space="preserve"> (Motor vehicle excise tax for regional transit authorities---Sales and use tax on car rentals---Former motor vehicle excise tax repealed) and 2015 3rd sp.s. c 44 s 319, 2010 c 161 s 903, 2009 c 280 s 4, 2003 c 1 s 6 (Initiative Measure No. 776, approved November 5, 2002), &amp; 1998 c 321 s 35 (Referendum Bill No. 49, approved November 3,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In order to effectuate the policies, purposes, and intent of this act and to ensure that the motor vehicle excise taxes repealed by this act are no longer imposed or collected, an authority that imposes a motor vehicle excise tax under RCW 81.104.160 must fully retire, defease, or refinance any outstanding bonds issued under this chapter if:</w:t>
      </w:r>
    </w:p>
    <w:p>
      <w:pPr>
        <w:spacing w:before="0" w:after="0" w:line="408" w:lineRule="exact"/>
        <w:ind w:left="0" w:right="0" w:firstLine="576"/>
        <w:jc w:val="left"/>
      </w:pPr>
      <w:r>
        <w:rPr/>
        <w:t xml:space="preserve">(1) Any revenue collected prior to the effective date of this section from the motor vehicle excise tax imposed under RCW 81.104.160 has been pledged to such bonds; and</w:t>
      </w:r>
    </w:p>
    <w:p>
      <w:pPr>
        <w:spacing w:before="0" w:after="0" w:line="408" w:lineRule="exact"/>
        <w:ind w:left="0" w:right="0" w:firstLine="576"/>
        <w:jc w:val="left"/>
      </w:pPr>
      <w:r>
        <w:rPr/>
        <w:t xml:space="preserve">(2) The bonds, by virtue of the terms of the bond contract, covenants, or similar terms, may be retired or defeased early or refinanced.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two-tenths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10 and 11 of this act take effect on the date that the regional transit authority complies with section 12 of this act and retires, defeases, or refinances its outstanding bonds.</w:t>
      </w:r>
    </w:p>
    <w:p>
      <w:pPr>
        <w:spacing w:before="0" w:after="0" w:line="408" w:lineRule="exact"/>
        <w:ind w:left="0" w:right="0" w:firstLine="576"/>
        <w:jc w:val="left"/>
      </w:pPr>
      <w:r>
        <w:rPr/>
        <w:t xml:space="preserve">(2) Section 13 takes effect April 1, 2020, if sections 10 and 11 of this act have not taken effect by March 31, 2020.</w:t>
      </w:r>
    </w:p>
    <w:p>
      <w:pPr>
        <w:spacing w:before="0" w:after="0" w:line="408" w:lineRule="exact"/>
        <w:ind w:left="0" w:right="0" w:firstLine="576"/>
        <w:jc w:val="left"/>
      </w:pPr>
      <w:r>
        <w:rPr/>
        <w:t xml:space="preserve">(3) The regional transit authority must provide written notice of the effective dates of sections 10, 11, and 13 of this act to affected parties, the chief clerk of the house of representatives, the secretary of the senate, the office of the code reviser, and others as deemed appropriate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act is known and may be cited as "Bring Back Our $30 Car Tabs."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11, and 13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December 5, 2019.</w:t>
      </w:r>
    </w:p>
    <w:p/>
    <w:p>
      <w:pPr>
        <w:jc w:val="center"/>
      </w:pPr>
      <w:r>
        <w:rPr>
          <w:b/>
        </w:rPr>
        <w:t>--- END ---</w:t>
      </w:r>
    </w:p>
    <w:sectPr>
      <w:pgNumType w:start="1"/>
      <w:footerReference xmlns:r="http://schemas.openxmlformats.org/officeDocument/2006/relationships" r:id="R9145ca32756640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06ab578404a1f" /><Relationship Type="http://schemas.openxmlformats.org/officeDocument/2006/relationships/footer" Target="/word/footer1.xml" Id="R9145ca3275664041" /></Relationships>
</file>