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d9dc985ca4c7e" /></Relationships>
</file>

<file path=word/document.xml><?xml version="1.0" encoding="utf-8"?>
<w:document xmlns:w="http://schemas.openxmlformats.org/wordprocessingml/2006/main">
  <w:body>
    <w:p>
      <w:r>
        <w:t>S-5631.3</w:t>
      </w:r>
    </w:p>
    <w:p>
      <w:pPr>
        <w:jc w:val="center"/>
      </w:pPr>
      <w:r>
        <w:t>_______________________________________________</w:t>
      </w:r>
    </w:p>
    <w:p/>
    <w:p>
      <w:pPr>
        <w:jc w:val="center"/>
      </w:pPr>
      <w:r>
        <w:rPr>
          <w:b/>
        </w:rPr>
        <w:t>SUBSTITUTE SENATE BILL 6053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Conway, Keiser, Stanford, Kuderer, and Saldaña)</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(c)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 A wage lien that is not effective against any person pursuant to this subsection is ineffective against the heirs, successors, or assigns of such person.</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to be charged with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All receipts from fees collected under this subsection shall be deposited into the department of licensing wage lien account created under section 19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 and the vehicle identification number or hull identification number of the vehicle or vessel;</w:t>
      </w:r>
    </w:p>
    <w:p>
      <w:pPr>
        <w:spacing w:before="0" w:after="0" w:line="408" w:lineRule="exact"/>
        <w:ind w:left="0" w:right="0" w:firstLine="576"/>
        <w:jc w:val="left"/>
      </w:pPr>
      <w:r>
        <w:rPr/>
        <w:t xml:space="preserve">(iv)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department of licensing as required under RCW 46.17.005; and</w:t>
      </w:r>
    </w:p>
    <w:p>
      <w:pPr>
        <w:spacing w:before="0" w:after="0" w:line="408" w:lineRule="exact"/>
        <w:ind w:left="0" w:right="0" w:firstLine="576"/>
        <w:jc w:val="left"/>
      </w:pPr>
      <w:r>
        <w:rPr/>
        <w:t xml:space="preserve">(c)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(2)(a) and (3)(a) of this section, provided it also complies with any requirements created by the department under section 18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21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including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affecting title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A description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a purchaser or encumbrancer of the property, and every subsequent purchaser or encumbrancer, and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by the county auditor, and such cancellation shall be evidenced by the recording of the court order.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value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the wage lien must be filed within eight months of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ninety days of the date of that court's judgment. The entry of such a judgment shall not revive a wage lien that has been extinguished pursuant to section 9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ninety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9 of this act shall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lien provided by this chapter, for which claims of lien have been recorded, may be foreclosed and enforced as provided under section 7 of this act.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6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must mail a copy of the release to the person against whom the lien claim was made by first-class mail within ten days of filing the notice.</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wage lien recorded pursuant to this chapter shall be prior to any security interest, lien, mortgage, deed of trust, or other  encumbrance that attached to the property after, or was unrecorded at the time, such wage lien was recorded.</w:t>
      </w:r>
      <w:r>
        <w:rPr/>
        <w:t xml:space="preserve"> A wage lien recorded pursuant to this chapter shall be subject and subordinate to any prior perfected security interest, lien, mortgage, deed of trust, or other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7 of this act, for the county where the property or some part thereof is located, for an order directing the lien claimant to appear before the court at a time no earlier than six nor later than fifteen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property subject to a recorded claim of lien under this chapter, or contractor, subcontractor, lender, or another lien claimant who disputes the correctness or validity of the claim of lien may record, either before or after the commencement of an action to enforce the lien, in the office of the county recorder or auditor in the county where the claim of lien was recorded, a bond issued by a surety company authorized to issue surety bonds in the state. The surety shall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 The bond shall contain a description of the claim of lien and real property involved, and be in an amount equal to the greater of five thousand dollars or two times the amount of the lien claimed if it is ten thousand dollars or less, and in an amount equal to or greater than one and one-half times the amount of the lien if it is in excess of ten thousand dollars. If the claim of lien affects more than one parcel of real property and is segregated to each parcel, the bond may be segregated the same as in the claim of lien.</w:t>
      </w:r>
    </w:p>
    <w:p>
      <w:pPr>
        <w:spacing w:before="0" w:after="0" w:line="408" w:lineRule="exact"/>
        <w:ind w:left="0" w:right="0" w:firstLine="576"/>
        <w:jc w:val="left"/>
      </w:pPr>
      <w:r>
        <w:rPr/>
        <w:t xml:space="preserve">(2)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(3) The condition of the bond shall be to guarantee payment of any judgment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(4) The effect of recording a bond shall be to release the real property described in the notice of claim of lien from the lien and any action brought to recover the amount claimed. Unless otherwise prohibited by law, if no action is commenced to recover on a lien within the time specified in section 9 of this act, the surety shall be discharged from liability under the bond. If an action is timely commenced, then on payment of any judgment entered in the action or on payment of the full amount of the bond to the holder of the judgment, whichever is less, the surety shall be discharged from liability under the bond.</w:t>
      </w:r>
    </w:p>
    <w:p>
      <w:pPr>
        <w:spacing w:before="0" w:after="0" w:line="408" w:lineRule="exact"/>
        <w:ind w:left="0" w:right="0" w:firstLine="576"/>
        <w:jc w:val="left"/>
      </w:pPr>
      <w:r>
        <w:rPr/>
        <w:t xml:space="preserve">(5)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13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21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9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20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35451792faf14f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856537ce64936" /><Relationship Type="http://schemas.openxmlformats.org/officeDocument/2006/relationships/footer" Target="/word/footer1.xml" Id="R35451792faf14f83" /></Relationships>
</file>