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bb939e9ff460d" /></Relationships>
</file>

<file path=word/document.xml><?xml version="1.0" encoding="utf-8"?>
<w:document xmlns:w="http://schemas.openxmlformats.org/wordprocessingml/2006/main">
  <w:body>
    <w:p>
      <w:r>
        <w:t>S-4791.2</w:t>
      </w:r>
    </w:p>
    <w:p>
      <w:pPr>
        <w:jc w:val="center"/>
      </w:pPr>
      <w:r>
        <w:t>_______________________________________________</w:t>
      </w:r>
    </w:p>
    <w:p/>
    <w:p>
      <w:pPr>
        <w:jc w:val="center"/>
      </w:pPr>
      <w:r>
        <w:rPr>
          <w:b/>
        </w:rPr>
        <w:t>SENATE BILL 6065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Hasegawa, Kuderer, Nguyen, Rolfes, Short, Wilson, L., Das, and Wellman</w:t>
      </w:r>
    </w:p>
    <w:p/>
    <w:p>
      <w:r>
        <w:rPr>
          <w:t xml:space="preserve">Prefiled 12/11/19.</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leader of each respective caucus;</w:t>
      </w:r>
    </w:p>
    <w:p>
      <w:pPr>
        <w:spacing w:before="0" w:after="0" w:line="408" w:lineRule="exact"/>
        <w:ind w:left="0" w:right="0" w:firstLine="576"/>
        <w:jc w:val="left"/>
      </w:pPr>
      <w:r>
        <w:rPr/>
        <w:t xml:space="preserve">(b) One representative from each of the two largest caucuses of the house of representatives, appointed by the leader of each respective caucus;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financial institutions, or the director's designee;</w:t>
      </w:r>
    </w:p>
    <w:p>
      <w:pPr>
        <w:spacing w:before="0" w:after="0" w:line="408" w:lineRule="exact"/>
        <w:ind w:left="0" w:right="0" w:firstLine="576"/>
        <w:jc w:val="left"/>
      </w:pPr>
      <w:r>
        <w:rPr/>
        <w:t xml:space="preserve">(e) The director of Washington technology solutions, the consolidated technology services agency, or the director's designee;</w:t>
      </w:r>
    </w:p>
    <w:p>
      <w:pPr>
        <w:spacing w:before="0" w:after="0" w:line="408" w:lineRule="exact"/>
        <w:ind w:left="0" w:right="0" w:firstLine="576"/>
        <w:jc w:val="left"/>
      </w:pPr>
      <w:r>
        <w:rPr/>
        <w:t xml:space="preserve">(f) An individual representing a trade association for technology companies that do business in Washington;</w:t>
      </w:r>
    </w:p>
    <w:p>
      <w:pPr>
        <w:spacing w:before="0" w:after="0" w:line="408" w:lineRule="exact"/>
        <w:ind w:left="0" w:right="0" w:firstLine="576"/>
        <w:jc w:val="left"/>
      </w:pPr>
      <w:r>
        <w:rPr/>
        <w:t xml:space="preserve">(g) An individual representing a trade association for financial services companies that do business in Washington;</w:t>
      </w:r>
    </w:p>
    <w:p>
      <w:pPr>
        <w:spacing w:before="0" w:after="0" w:line="408" w:lineRule="exact"/>
        <w:ind w:left="0" w:right="0" w:firstLine="576"/>
        <w:jc w:val="left"/>
      </w:pPr>
      <w:r>
        <w:rPr/>
        <w:t xml:space="preserve">(h) An individual representing a trade association for title insurance companies that do business in Washington;</w:t>
      </w:r>
    </w:p>
    <w:p>
      <w:pPr>
        <w:spacing w:before="0" w:after="0" w:line="408" w:lineRule="exact"/>
        <w:ind w:left="0" w:right="0" w:firstLine="576"/>
        <w:jc w:val="left"/>
      </w:pPr>
      <w:r>
        <w:rPr/>
        <w:t xml:space="preserve">(i) An individual representing a trade association for health care companies that do business in Washington; and</w:t>
      </w:r>
    </w:p>
    <w:p>
      <w:pPr>
        <w:spacing w:before="0" w:after="0" w:line="408" w:lineRule="exact"/>
        <w:ind w:left="0" w:right="0" w:firstLine="576"/>
        <w:jc w:val="left"/>
      </w:pPr>
      <w:r>
        <w:rPr/>
        <w:t xml:space="preserve">(j) An individual representing an association for county government officials in Washington.</w:t>
      </w:r>
    </w:p>
    <w:p>
      <w:pPr>
        <w:spacing w:before="0" w:after="0" w:line="408" w:lineRule="exact"/>
        <w:ind w:left="0" w:right="0" w:firstLine="576"/>
        <w:jc w:val="left"/>
      </w:pPr>
      <w:r>
        <w:rPr/>
        <w:t xml:space="preserve">(3) The individuals appointed under subsection (2)(f) through (j) of this section must be appointed by the governor, subject to senate confirmation in accordance with RCW 43.06.092.</w:t>
      </w:r>
    </w:p>
    <w:p>
      <w:pPr>
        <w:spacing w:before="0" w:after="0" w:line="408" w:lineRule="exact"/>
        <w:ind w:left="0" w:right="0" w:firstLine="576"/>
        <w:jc w:val="left"/>
      </w:pPr>
      <w:r>
        <w:rPr/>
        <w:t xml:space="preserve">(4)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(5) The work group shall hold its inaugural meeting by August 1, 2020.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(6) Staff support for the work group, including arranging the inaugural meeting of the work group and assisting the chair of the work group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(7)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shall submit a report on recommended policies that will facilitate the development of blockchain applications in Washington to the governor and the appropriate committees of the legislature by December 1, 2021.</w:t>
      </w:r>
    </w:p>
    <w:p>
      <w:pPr>
        <w:spacing w:before="0" w:after="0" w:line="408" w:lineRule="exact"/>
        <w:ind w:left="0" w:right="0" w:firstLine="576"/>
        <w:jc w:val="left"/>
      </w:pPr>
      <w:r>
        <w:rPr/>
        <w:t xml:space="preserve">(12) This section expires January 1, 2022. The work group is dissolved upon the expiration of this section.</w:t>
      </w:r>
    </w:p>
    <w:p/>
    <w:p>
      <w:pPr>
        <w:jc w:val="center"/>
      </w:pPr>
      <w:r>
        <w:rPr>
          <w:b/>
        </w:rPr>
        <w:t>--- END ---</w:t>
      </w:r>
    </w:p>
    <w:sectPr>
      <w:pgNumType w:start="1"/>
      <w:footerReference xmlns:r="http://schemas.openxmlformats.org/officeDocument/2006/relationships" r:id="R2e2d5d262a5e42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0c722410e4b96" /><Relationship Type="http://schemas.openxmlformats.org/officeDocument/2006/relationships/footer" Target="/word/footer1.xml" Id="R2e2d5d262a5e4203" /></Relationships>
</file>