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c394494f9348f6" /></Relationships>
</file>

<file path=word/document.xml><?xml version="1.0" encoding="utf-8"?>
<w:document xmlns:w="http://schemas.openxmlformats.org/wordprocessingml/2006/main">
  <w:body>
    <w:p>
      <w:r>
        <w:t>S-5099.2</w:t>
      </w:r>
    </w:p>
    <w:p>
      <w:pPr>
        <w:jc w:val="center"/>
      </w:pPr>
      <w:r>
        <w:t>_______________________________________________</w:t>
      </w:r>
    </w:p>
    <w:p/>
    <w:p>
      <w:pPr>
        <w:jc w:val="center"/>
      </w:pPr>
      <w:r>
        <w:rPr>
          <w:b/>
        </w:rPr>
        <w:t>SENATE BILL 6106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Hasegawa, and Zeiger</w:t>
      </w:r>
    </w:p>
    <w:p/>
    <w:p>
      <w:r>
        <w:rPr>
          <w:t xml:space="preserve">Prefiled 12/23/19.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postpartum medicaid coverage; amending RCW 74.09.510;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first three hundred sixty-five days of a child's life is a critical time for the health, including mental health, of both the mother and the child. Negative health conditions, including postpartum mood disorders, may develop and stay with a mother during the initial three hundred sixty-five days after the pregnancy ends. Currently, mothers who meet certain income threshold limits to qualify for medicaid coverage during and shortly after pregnancy may lose medicaid coverage less than three months after a pregnancy ends. This is often referred to as the postpartum cliff. The legislature finds that losing medicaid coverage shortly after a pregnancy ends negatively affects the health of both the mother and the child. Therefore, the legislature intends to allow mothers who qualify for medicaid to remain on that medicaid coverage for a period of three hundred sixty-five days following the end of a pregnancy.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2017 3rd sp.s. c 6 s 337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of social and health services, the department of children, youth, and families,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of children, youth, and families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w:t>
      </w:r>
      <w:r>
        <w:t>((</w:t>
      </w:r>
      <w:r>
        <w:rPr>
          <w:strike/>
        </w:rPr>
        <w:t xml:space="preserve">and pregnant women</w:t>
      </w:r>
      <w:r>
        <w:t>))</w:t>
      </w:r>
      <w:r>
        <w:rPr/>
        <w:t xml:space="preserve"> allowed by federal statute for whom funding is appropriated;</w:t>
      </w:r>
    </w:p>
    <w:p>
      <w:pPr>
        <w:spacing w:before="0" w:after="0" w:line="408" w:lineRule="exact"/>
        <w:ind w:left="0" w:right="0" w:firstLine="576"/>
        <w:jc w:val="left"/>
      </w:pPr>
      <w:r>
        <w:rPr/>
        <w:t xml:space="preserve">(8) </w:t>
      </w:r>
      <w:r>
        <w:rPr>
          <w:u w:val="single"/>
        </w:rPr>
        <w:t xml:space="preserve">Pregnant and postpartum persons who have countable income equal to or below one hundred ninety-three percent of the federal poverty level. Medical assistance provided under this subsection shall be provided up to twelve months postpregnancy and is subject to any conditions or limitations specified in the omnibus operating appropriations act;</w:t>
      </w:r>
    </w:p>
    <w:p>
      <w:pPr>
        <w:spacing w:before="0" w:after="0" w:line="408" w:lineRule="exact"/>
        <w:ind w:left="0" w:right="0" w:firstLine="576"/>
        <w:jc w:val="left"/>
      </w:pPr>
      <w:r>
        <w:rPr>
          <w:u w:val="single"/>
        </w:rPr>
        <w:t xml:space="preserve">(9)</w:t>
      </w:r>
      <w:r>
        <w:rPr/>
        <w:t xml:space="preserve"> Working individuals with disabilities authorized under section 1902(a)(10)(A)(ii) of the social security act for whom funding is appropriated;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Persons allowed by section 1931 of the social security act for whom funding is appropriated;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submit a waiver request to the federal centers for medicare and medicaid services to allow for the state to receive federal match for the coverage of pregnant and postpartum persons identified in RCW 70.235.010(8). The authority shall provide coverage to all eligible pregnant and postpartum persons identified under RCW 70.235.010(8) regardless of federal approval of the waiver request. The authority shall report to the legislature on the status of the waiver request by December 1, 2020, and inform the legislature of any statutory changes necessary to allow the state to receive federal match for the coverage of pregnant and postpartum persons identified in RCW 70.235.010(8).</w:t>
      </w:r>
    </w:p>
    <w:p/>
    <w:p>
      <w:pPr>
        <w:jc w:val="center"/>
      </w:pPr>
      <w:r>
        <w:rPr>
          <w:b/>
        </w:rPr>
        <w:t>--- END ---</w:t>
      </w:r>
    </w:p>
    <w:sectPr>
      <w:pgNumType w:start="1"/>
      <w:footerReference xmlns:r="http://schemas.openxmlformats.org/officeDocument/2006/relationships" r:id="Rb06bb8154e5140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c6ae23fa4243f0" /><Relationship Type="http://schemas.openxmlformats.org/officeDocument/2006/relationships/footer" Target="/word/footer1.xml" Id="Rb06bb8154e51404d" /></Relationships>
</file>