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065ffa40e04665" /></Relationships>
</file>

<file path=word/document.xml><?xml version="1.0" encoding="utf-8"?>
<w:document xmlns:w="http://schemas.openxmlformats.org/wordprocessingml/2006/main">
  <w:body>
    <w:p>
      <w:r>
        <w:t>S-5022.2</w:t>
      </w:r>
    </w:p>
    <w:p>
      <w:pPr>
        <w:jc w:val="center"/>
      </w:pPr>
      <w:r>
        <w:t>_______________________________________________</w:t>
      </w:r>
    </w:p>
    <w:p/>
    <w:p>
      <w:pPr>
        <w:jc w:val="center"/>
      </w:pPr>
      <w:r>
        <w:rPr>
          <w:b/>
        </w:rPr>
        <w:t>SENATE BILL 6195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Becker, Short, Wagoner, Warnick, and Sheldon</w:t>
      </w:r>
    </w:p>
    <w:p/>
    <w:p>
      <w:r>
        <w:rPr>
          <w:t xml:space="preserve">Prefiled 01/09/20.</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forest health activities for the protection of people, homes, and the environment through issuance of state bonds; and adding a new chapter to Title 76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preventing catastrophic wildfires is an important and urgent duty of the state, as doing so protects the public as well as homes in the rural and urban edge communities, keeps forests intact, and maintains clean air for the benefit of all citizens. The legislature also finds that funding forest health activities is an active means to prevent catastrophic wildfires, by reducing fuel loads that lead to such fires. Providing for active forest health treatments also maintains a working forest environment that sustains jobs, maintains healthy forests, and keeps the public that live near areas of wildfire threat aware, engaged, and educated about minimizing wildfire risk.</w:t>
      </w:r>
    </w:p>
    <w:p>
      <w:pPr>
        <w:spacing w:before="0" w:after="0" w:line="408" w:lineRule="exact"/>
        <w:ind w:left="0" w:right="0" w:firstLine="576"/>
        <w:jc w:val="left"/>
      </w:pPr>
      <w:r>
        <w:rPr/>
        <w:t xml:space="preserve">Previous acts of the legislature, including chapter 95, Laws of 2017 and chapter 248, Laws of 2017, have called upon the department of natural resources to create plans for solving the state's forest health issues, with specific targets for a twenty-year plan and for assessing and treating one million acres of land by 2033. The department of natural resources has created the </w:t>
      </w:r>
      <w:r>
        <w:rPr>
          <w:i/>
        </w:rPr>
        <w:t xml:space="preserve">20-Year Forest Health Strategic Plan</w:t>
      </w:r>
      <w:r>
        <w:rPr/>
        <w:t xml:space="preserve">.</w:t>
      </w:r>
      <w:r>
        <w:rPr/>
        <w:t xml:space="preserve"> The legislature intends to fund implementation of the plan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providing needed funding for forest health activities, the state finance committee is authorized to issue general obligation bonds of the state of Washington in the sum of five hundred million dollars, or as much thereof as may be required, to finance all or a part of the cost of these projects and all costs incidental thereto. The bonds issued under the authority of this section shall be known as Washington forest health bonds.</w:t>
      </w:r>
    </w:p>
    <w:p>
      <w:pPr>
        <w:spacing w:before="0" w:after="0" w:line="408" w:lineRule="exact"/>
        <w:ind w:left="0" w:right="0" w:firstLine="576"/>
        <w:jc w:val="left"/>
      </w:pPr>
      <w:r>
        <w:rPr/>
        <w:t xml:space="preserve">(2) Bonds authorized in this section must be sold in the manner, at the time or times, in amounts, and at such prices as the state finance committee determines.</w:t>
      </w:r>
    </w:p>
    <w:p>
      <w:pPr>
        <w:spacing w:before="0" w:after="0" w:line="408" w:lineRule="exact"/>
        <w:ind w:left="0" w:right="0" w:firstLine="576"/>
        <w:jc w:val="left"/>
      </w:pPr>
      <w:r>
        <w:rPr/>
        <w:t xml:space="preserve">(3) The authorization to issue bonds contained in this chapter does not expire until the full authorization has been issued.</w:t>
      </w:r>
    </w:p>
    <w:p>
      <w:pPr>
        <w:spacing w:before="0" w:after="0" w:line="408" w:lineRule="exact"/>
        <w:ind w:left="0" w:right="0" w:firstLine="576"/>
        <w:jc w:val="left"/>
      </w:pPr>
      <w:r>
        <w:rPr/>
        <w:t xml:space="preserve">(4)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in section 2 of this act must be deposited in the Washington forest health bond account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2 of this act must state that they are a general obligation of the state of Washington, must pledge the full faith and credit of the state to the payment of the principal thereof and the interest thereon, and must contain an unconditional promise to pay the principal and interest as the same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forest health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proceeds from the sale of tax-exempt bonds. Expenditures from the account are for forest health activities consistent with laws pertaining to forest health found in Titles 43, 76, and 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the sale of new bonds authorized in this chapter will be appropriated in phases over eight biennia, beginning with the 2021-2023 biennium, to provide additional funding for forest health activities. This chapter is not intended to limit the legislature's ability to appropriate bond proceeds if the full amount authorized in this chapter has not been appropriated after eight biennia, and the authorization to issue bonds contained in this chapter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76</w:t>
      </w:r>
      <w:r>
        <w:rPr/>
        <w:t xml:space="preserve"> RCW</w:t>
      </w:r>
      <w:r>
        <w:rPr/>
        <w:t xml:space="preserve">.</w:t>
      </w:r>
    </w:p>
    <w:p/>
    <w:p>
      <w:pPr>
        <w:jc w:val="center"/>
      </w:pPr>
      <w:r>
        <w:rPr>
          <w:b/>
        </w:rPr>
        <w:t>--- END ---</w:t>
      </w:r>
    </w:p>
    <w:sectPr>
      <w:pgNumType w:start="1"/>
      <w:footerReference xmlns:r="http://schemas.openxmlformats.org/officeDocument/2006/relationships" r:id="R978af86740314f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6208fdd3e41ab" /><Relationship Type="http://schemas.openxmlformats.org/officeDocument/2006/relationships/footer" Target="/word/footer1.xml" Id="R978af86740314f43" /></Relationships>
</file>