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bf7d9602e45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Nguyen, Carlyle, Wellman, Salomon, Lovelett, Das, Randall, Pedersen, Wilson, C., and Hunt)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facial recognition services; adding a new section to chapter 9.73 RCW;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(7)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(8)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(9)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(10) "Serious criminal offense" means any offense defined under RCW 9.94A.030 (26), (33), (42), (43), (47), or (56).</w:t>
      </w:r>
    </w:p>
    <w:p>
      <w:pPr>
        <w:spacing w:before="0" w:after="0" w:line="408" w:lineRule="exact"/>
        <w:ind w:left="0" w:right="0" w:firstLine="576"/>
        <w:jc w:val="left"/>
      </w:pPr>
      <w:r>
        <w:rPr/>
        <w:t xml:space="preserve">(11)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produce an accountability report for that service. The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(2)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accountability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accountability report must be updated every two years and each update must be subject to the public comment and community consultation processes described in this section.</w:t>
      </w:r>
    </w:p>
    <w:p>
      <w:pPr>
        <w:spacing w:before="0" w:after="0" w:line="408" w:lineRule="exact"/>
        <w:ind w:left="0" w:right="0" w:firstLine="576"/>
        <w:jc w:val="left"/>
      </w:pPr>
      <w:r>
        <w:rPr/>
        <w:t xml:space="preserve">(5)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(6) The accountability report required for the facial recognition matching system authorized in RCW 46.20.037 is due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of their use of such services;</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reasonable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However,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the facial recognition matching system authorized in RCW 46.20.037 under contract as of the effective date of this section. Upon renewal or extension of the contract as of the effective date of this section, or upon entering into a new contract for facial recognition services, the department of licensing must ensure that the facial recognition service provider of the system authorized in RCW 46.20.037 fulfills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ongoing surveillance, or an extension thereof, as described in section 12(1)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ongoing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facial recognition services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(7) This section expires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ongoing surveillance unless the use is in support of law enforcement activities and there is probable cause to believe that an individual has committed, is engaged in, or is about to commit, a felony or there is a need by law enforcement to invoke their community care-taking function, and either:</w:t>
      </w:r>
    </w:p>
    <w:p>
      <w:pPr>
        <w:spacing w:before="0" w:after="0" w:line="408" w:lineRule="exact"/>
        <w:ind w:left="0" w:right="0" w:firstLine="576"/>
        <w:jc w:val="left"/>
      </w:pPr>
      <w:r>
        <w:rPr/>
        <w:t xml:space="preserve">(a) A court order has been obtained to permit the use of the facial recognition service for ongoing surveillance; or</w:t>
      </w:r>
    </w:p>
    <w:p>
      <w:pPr>
        <w:spacing w:before="0" w:after="0" w:line="408" w:lineRule="exact"/>
        <w:ind w:left="0" w:right="0" w:firstLine="576"/>
        <w:jc w:val="left"/>
      </w:pPr>
      <w:r>
        <w:rPr/>
        <w:t xml:space="preserve">(b) Where the agency reasonably determines that an exigent circumstance exists, and an appropriate court order is obtained as soon as reasonably practicable. In the absence of an authorizing order, such use must immediately terminate at the earliest of the following:</w:t>
      </w:r>
    </w:p>
    <w:p>
      <w:pPr>
        <w:spacing w:before="0" w:after="0" w:line="408" w:lineRule="exact"/>
        <w:ind w:left="0" w:right="0" w:firstLine="576"/>
        <w:jc w:val="left"/>
      </w:pPr>
      <w:r>
        <w:rPr/>
        <w:t xml:space="preserve">(i) The information sought is obtained;</w:t>
      </w:r>
    </w:p>
    <w:p>
      <w:pPr>
        <w:spacing w:before="0" w:after="0" w:line="408" w:lineRule="exact"/>
        <w:ind w:left="0" w:right="0" w:firstLine="576"/>
        <w:jc w:val="left"/>
      </w:pPr>
      <w:r>
        <w:rPr/>
        <w:t xml:space="preserve">(ii) The application for the order is denied; or</w:t>
      </w:r>
    </w:p>
    <w:p>
      <w:pPr>
        <w:spacing w:before="0" w:after="0" w:line="408" w:lineRule="exact"/>
        <w:ind w:left="0" w:right="0" w:firstLine="576"/>
        <w:jc w:val="left"/>
      </w:pPr>
      <w:r>
        <w:rPr/>
        <w:t xml:space="preserve">(iii) When forty-eight hours have lapsed since the beginning of the emergency surveillance for the purpose of ongoing surveillance.</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This subsection does not condone profiling including, but not limited to, predictive law enforcement tools. The prohibition in this subsection does not prohibit state and local government agencies from applying a facial recognition service to an individual who happens to possess one or more of these characteristics where an officer of that agency holds a reasonable suspicion that that individual has committed, is engaged in, or is about to commit a felony or there is need to invoke their community care-taking function.</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specifically authorized by applicable law and is pertinent to and within the scope of an authorized law enforcement activity; and</w:t>
      </w:r>
    </w:p>
    <w:p>
      <w:pPr>
        <w:spacing w:before="0" w:after="0" w:line="408" w:lineRule="exact"/>
        <w:ind w:left="0" w:right="0" w:firstLine="576"/>
        <w:jc w:val="left"/>
      </w:pPr>
      <w:r>
        <w:rPr/>
        <w:t xml:space="preserve">(b) There is reasonable suspicion to believe the individual has committed, is engaged in, or is about to commit a felony or there is need to invoke their community care-taking function.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A facial recognition service match alone does not constitute reasonable suspicion.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20db08287e24c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18be0892841e4" /><Relationship Type="http://schemas.openxmlformats.org/officeDocument/2006/relationships/footer" Target="/word/footer1.xml" Id="R920db08287e24c4d" /></Relationships>
</file>