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c285a4ae44c59" /></Relationships>
</file>

<file path=word/document.xml><?xml version="1.0" encoding="utf-8"?>
<w:document xmlns:w="http://schemas.openxmlformats.org/wordprocessingml/2006/main">
  <w:body>
    <w:p>
      <w:r>
        <w:t>S-6132.2</w:t>
      </w:r>
    </w:p>
    <w:p>
      <w:pPr>
        <w:jc w:val="center"/>
      </w:pPr>
      <w:r>
        <w:t>_______________________________________________</w:t>
      </w:r>
    </w:p>
    <w:p/>
    <w:p>
      <w:pPr>
        <w:jc w:val="center"/>
      </w:pPr>
      <w:r>
        <w:rPr>
          <w:b/>
        </w:rPr>
        <w:t>SUBSTITUTE SENATE BILL 6289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Dhingra, Kuderer, Lovelett, Darneille, Carlyle, Wilson, C., Das, and Frockt)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the right to possess a firearm; reenacting and amending RCW 9.41.040 and 9.41.047;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and who has not been convicted or found not guilty by reason of insanity of a felony sex offense; a class A felony; a felony offense in which a firearm was used, displayed, or threatened to be used; or a felony offense with a maximum sentence of at least twenty years may petition a superior court to have his or her right to possess a firearm restored if:</w:t>
      </w:r>
    </w:p>
    <w:p>
      <w:pPr>
        <w:spacing w:before="0" w:after="0" w:line="408" w:lineRule="exact"/>
        <w:ind w:left="0" w:right="0" w:firstLine="576"/>
        <w:jc w:val="left"/>
      </w:pPr>
      <w:r>
        <w:rPr/>
        <w:t xml:space="preserve">(a) The person is not required to file a petition as provided in RCW 9.41.047;</w:t>
      </w:r>
    </w:p>
    <w:p>
      <w:pPr>
        <w:spacing w:before="0" w:after="0" w:line="408" w:lineRule="exact"/>
        <w:ind w:left="0" w:right="0" w:firstLine="576"/>
        <w:jc w:val="left"/>
      </w:pPr>
      <w:r>
        <w:rPr/>
        <w:t xml:space="preserve">(b) The person has spent three consecutive years, immediately preceding the petition, in the community without being convicted or found not guilty by reason of insanity of any felony, gross misdemeanor, or misdemeanor crime if the person was convicted or found not guilty by reason of insanity for a nonfelony offense;</w:t>
      </w:r>
    </w:p>
    <w:p>
      <w:pPr>
        <w:spacing w:before="0" w:after="0" w:line="408" w:lineRule="exact"/>
        <w:ind w:left="0" w:right="0" w:firstLine="576"/>
        <w:jc w:val="left"/>
      </w:pPr>
      <w:r>
        <w:rPr/>
        <w:t xml:space="preserve">(c) The person has spent five consecutive years, immediately preceding the petition, in the community without being convicted or found not guilty by reason of insanity of any felony, gross misdemeanor, or misdemeanor crime if the person was convicted or found not guilty by reason of insanity of a class C felony offense;</w:t>
      </w:r>
    </w:p>
    <w:p>
      <w:pPr>
        <w:spacing w:before="0" w:after="0" w:line="408" w:lineRule="exact"/>
        <w:ind w:left="0" w:right="0" w:firstLine="576"/>
        <w:jc w:val="left"/>
      </w:pPr>
      <w:r>
        <w:rPr/>
        <w:t xml:space="preserve">(d) The person has spent ten consecutive years, immediately preceding the petition, in the community without being convicted or found not guilty by reason of insanity of any felony, gross misdemeanor, or misdemeanor crime if the person was convicted or found not guilty by reason of insanity of a class B felony offense;</w:t>
      </w:r>
    </w:p>
    <w:p>
      <w:pPr>
        <w:spacing w:before="0" w:after="0" w:line="408" w:lineRule="exact"/>
        <w:ind w:left="0" w:right="0" w:firstLine="576"/>
        <w:jc w:val="left"/>
      </w:pPr>
      <w:r>
        <w:rPr/>
        <w:t xml:space="preserve">(e) The person has no pending charges for any felony, gross misdemeanor, or misdemeanor crime;</w:t>
      </w:r>
    </w:p>
    <w:p>
      <w:pPr>
        <w:spacing w:before="0" w:after="0" w:line="408" w:lineRule="exact"/>
        <w:ind w:left="0" w:right="0" w:firstLine="576"/>
        <w:jc w:val="left"/>
      </w:pPr>
      <w:r>
        <w:rPr/>
        <w:t xml:space="preserve">(f) The person has completed any and all sentencing conditions for the underlying felony or misdemeanor conviction; and</w:t>
      </w:r>
    </w:p>
    <w:p>
      <w:pPr>
        <w:spacing w:before="0" w:after="0" w:line="408" w:lineRule="exact"/>
        <w:ind w:left="0" w:right="0" w:firstLine="576"/>
        <w:jc w:val="left"/>
      </w:pPr>
      <w:r>
        <w:rPr/>
        <w:t xml:space="preserve">(g) An extreme risk, domestic violence, stalking, or sexual assault protection order has not been issued against the person in the five years immediately preceding the petition.</w:t>
      </w:r>
    </w:p>
    <w:p>
      <w:pPr>
        <w:spacing w:before="0" w:after="0" w:line="408" w:lineRule="exact"/>
        <w:ind w:left="0" w:right="0" w:firstLine="576"/>
        <w:jc w:val="left"/>
      </w:pPr>
      <w:r>
        <w:rPr/>
        <w:t xml:space="preserve">(2) A person who has been convicted or found not guilty by reason of insanity for a felony offense in which a firearm was used, displayed, or threatened to be used and who otherwise meets the requirements in subsection (1) of this section may petition a superior court to have his or her right to possess a firearm restored when the person has spent ten consecutive years, immediately preceding the petition, in the community without being convicted or found not guilty by reason of insanity of any felony, gross misdemeanor, or misdemeanor crime. The court may restore the person's right to possess a firearm if the petitioner shows by a preponderance of the evidence that the petitioner is sufficiently rehabilitated to warrant restoration.</w:t>
      </w:r>
    </w:p>
    <w:p>
      <w:pPr>
        <w:spacing w:before="0" w:after="0" w:line="408" w:lineRule="exact"/>
        <w:ind w:left="0" w:right="0" w:firstLine="576"/>
        <w:jc w:val="left"/>
      </w:pPr>
      <w:r>
        <w:rPr/>
        <w:t xml:space="preserve">(3)(a) A petition for restoration of a person's right to possess a firearm shall be made to:</w:t>
      </w:r>
    </w:p>
    <w:p>
      <w:pPr>
        <w:spacing w:before="0" w:after="0" w:line="408" w:lineRule="exact"/>
        <w:ind w:left="0" w:right="0" w:firstLine="576"/>
        <w:jc w:val="left"/>
      </w:pPr>
      <w:r>
        <w:rPr/>
        <w:t xml:space="preserve">(i) The superior court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(b) If a person has multiple convictions in different counties, the person must provide notice to the prosecuting attorney in each county where the convictions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w:t>
      </w:r>
      <w:r>
        <w:t>))</w:t>
      </w:r>
      <w:r>
        <w:rPr/>
        <w:t xml:space="preserve"> </w:t>
      </w:r>
      <w:r>
        <w:rPr>
          <w:u w:val="single"/>
        </w:rPr>
        <w:t xml:space="preserve">As</w:t>
      </w:r>
      <w:r>
        <w:rPr/>
        <w:t xml:space="preserve">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his or her right to do so is restored by a </w:t>
      </w:r>
      <w:r>
        <w:rPr>
          <w:u w:val="single"/>
        </w:rPr>
        <w:t xml:space="preserve">superior</w:t>
      </w:r>
      <w:r>
        <w:rPr/>
        <w:t xml:space="preserve"> court </w:t>
      </w:r>
      <w:r>
        <w:t>((</w:t>
      </w:r>
      <w:r>
        <w:rPr>
          <w:strike/>
        </w:rPr>
        <w:t xml:space="preserve">of record</w:t>
      </w:r>
      <w:r>
        <w:t>))</w:t>
      </w:r>
      <w:r>
        <w:rPr/>
        <w:t xml:space="preserve">. </w:t>
      </w:r>
      <w:r>
        <w:t>((</w:t>
      </w:r>
      <w:r>
        <w:rPr>
          <w:strike/>
        </w:rPr>
        <w:t xml:space="preserve">For purposes of this section a convicting court includes a court in which a person has been found not guilty by reason of insanity.</w:t>
      </w:r>
      <w:r>
        <w:t>))</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1(1) (b) through (g) of this act</w:t>
      </w:r>
      <w:r>
        <w:rPr/>
        <w:t xml:space="preserve">.</w:t>
      </w:r>
    </w:p>
    <w:p/>
    <w:p>
      <w:pPr>
        <w:jc w:val="center"/>
      </w:pPr>
      <w:r>
        <w:rPr>
          <w:b/>
        </w:rPr>
        <w:t>--- END ---</w:t>
      </w:r>
    </w:p>
    <w:sectPr>
      <w:pgNumType w:start="1"/>
      <w:footerReference xmlns:r="http://schemas.openxmlformats.org/officeDocument/2006/relationships" r:id="Rd5ea32e29e1040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f9e1baada34ef7" /><Relationship Type="http://schemas.openxmlformats.org/officeDocument/2006/relationships/footer" Target="/word/footer1.xml" Id="Rd5ea32e29e104051" /></Relationships>
</file>