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5ec2476914515" /></Relationships>
</file>

<file path=word/document.xml><?xml version="1.0" encoding="utf-8"?>
<w:document xmlns:w="http://schemas.openxmlformats.org/wordprocessingml/2006/main">
  <w:body>
    <w:p>
      <w:r>
        <w:t>S-4979.2</w:t>
      </w:r>
    </w:p>
    <w:p>
      <w:pPr>
        <w:jc w:val="center"/>
      </w:pPr>
      <w:r>
        <w:t>_______________________________________________</w:t>
      </w:r>
    </w:p>
    <w:p/>
    <w:p>
      <w:pPr>
        <w:jc w:val="center"/>
      </w:pPr>
      <w:r>
        <w:rPr>
          <w:b/>
        </w:rPr>
        <w:t>SENATE BILL 6358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Short, and Wilson, C.</w:t>
      </w:r>
    </w:p>
    <w:p/>
    <w:p>
      <w:r>
        <w:rPr>
          <w:t xml:space="preserve">Read first time 01/15/20.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medicaid managed care organizations to provide reimbursement of health care services provided by substitute providers;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may use substitute providers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the substitute provider may bill and receive payment for services under the contracted provider's national provider identifier for up to sixty days.</w:t>
      </w:r>
    </w:p>
    <w:p>
      <w:pPr>
        <w:spacing w:before="0" w:after="0" w:line="408" w:lineRule="exact"/>
        <w:ind w:left="0" w:right="0" w:firstLine="576"/>
        <w:jc w:val="left"/>
      </w:pPr>
      <w:r>
        <w:rPr/>
        <w:t xml:space="preserve">(4)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Substitute providers may retrospectively bill for services for up to thirty days prior to their effective date under subsection (4) of this section if:</w:t>
      </w:r>
    </w:p>
    <w:p>
      <w:pPr>
        <w:spacing w:before="0" w:after="0" w:line="408" w:lineRule="exact"/>
        <w:ind w:left="0" w:right="0" w:firstLine="576"/>
        <w:jc w:val="left"/>
      </w:pPr>
      <w:r>
        <w:rPr/>
        <w:t xml:space="preserve">(a) The substitute provider has met all program requirements, including state licensure requirements; and</w:t>
      </w:r>
    </w:p>
    <w:p>
      <w:pPr>
        <w:spacing w:before="0" w:after="0" w:line="408" w:lineRule="exact"/>
        <w:ind w:left="0" w:right="0" w:firstLine="576"/>
        <w:jc w:val="left"/>
      </w:pPr>
      <w:r>
        <w:rPr/>
        <w:t xml:space="preserve">(b) Circumstances precluded enrollment in advance of providing services to medicaid beneficiaries.</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physician assistants licensed under chapter 18.71A RCW, osteopathic physician assistants licensed under chapter 18.57A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physician assistants licensed under chapter 18.71A RCW, osteopathic physician assistants licensed under chapter 18.57A RCW, and advanced registered nurse practitioners licensed under chapter 18.79 RCW.</w:t>
      </w:r>
    </w:p>
    <w:p/>
    <w:p>
      <w:pPr>
        <w:jc w:val="center"/>
      </w:pPr>
      <w:r>
        <w:rPr>
          <w:b/>
        </w:rPr>
        <w:t>--- END ---</w:t>
      </w:r>
    </w:p>
    <w:sectPr>
      <w:pgNumType w:start="1"/>
      <w:footerReference xmlns:r="http://schemas.openxmlformats.org/officeDocument/2006/relationships" r:id="R0a45312cac7b4c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ef5e90cc54f55" /><Relationship Type="http://schemas.openxmlformats.org/officeDocument/2006/relationships/footer" Target="/word/footer1.xml" Id="R0a45312cac7b4ca7" /></Relationships>
</file>