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f2e422cb5462c" /></Relationships>
</file>

<file path=word/document.xml><?xml version="1.0" encoding="utf-8"?>
<w:document xmlns:w="http://schemas.openxmlformats.org/wordprocessingml/2006/main">
  <w:body>
    <w:p>
      <w:r>
        <w:t>S-5101.1</w:t>
      </w:r>
    </w:p>
    <w:p>
      <w:pPr>
        <w:jc w:val="center"/>
      </w:pPr>
      <w:r>
        <w:t>_______________________________________________</w:t>
      </w:r>
    </w:p>
    <w:p/>
    <w:p>
      <w:pPr>
        <w:jc w:val="center"/>
      </w:pPr>
      <w:r>
        <w:rPr>
          <w:b/>
        </w:rPr>
        <w:t>SENATE BILL 6368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Nguyen, Lovelett, Darneille, Stanford, Das, Dhingra, Hunt, Saldaña, and Wilson, C.</w:t>
      </w:r>
    </w:p>
    <w:p/>
    <w:p>
      <w:r>
        <w:rPr>
          <w:t xml:space="preserve">Read first time 01/15/20.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sick leave for K-12 employees; amending RCW 28A.400.300;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Sick leave is an earned benefit. The state has created an attendance incentive program that allows employees with significant sick leave balances to buy out their excess sick leave at a reduced rate with one day of pay for each four days that are cashed out. State employees can also choose to carry higher sick leave balances that could be donated for shared leave or cashed out upon separation. K-12 employees have similar attendance incentive programs, but are limited by a maximum number of sick leave hours that can be carried from year to year. By limiting sick leave balances, K-12 educators are incentivized to buy out any excess sick leave each year. As a result, there are more limited amounts of sick leave and shared leave that are available if an educator faces significant personal health issues or needs leave to care for family members. Removing the artificial cap on sick leave accrual will allow K-12 employees to use the benefits they have earned if they find themselves in need or share with colleagues who may need additional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2019 c 266 s 19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However, the board of directors shall adopt written policies granting to such persons annual leave with compensation for illness, injury</w:t>
      </w:r>
      <w:r>
        <w:rPr>
          <w:u w:val="single"/>
        </w:rPr>
        <w:t xml:space="preserve">,</w:t>
      </w:r>
      <w:r>
        <w:rPr/>
        <w:t xml:space="preserve">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one hundred eighty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w:t>
      </w:r>
      <w:r>
        <w:t>((</w:t>
      </w:r>
      <w:r>
        <w:rPr>
          <w:strike/>
        </w:rPr>
        <w:t xml:space="preserve">up to a maximum of one hundred eighty days for the purposes of RCW 28A.400.210 and 28A.400.220, and for leave purposes up to a maximum of the number of contract days agreed to in a given contract, but not greater than one year</w:t>
      </w:r>
      <w:r>
        <w:t>))</w:t>
      </w:r>
      <w:r>
        <w:rPr/>
        <w:t xml:space="preserve">. Such accumulated time may be taken at any time during the school year or </w:t>
      </w:r>
      <w:r>
        <w:t>((</w:t>
      </w:r>
      <w:r>
        <w:rPr>
          <w:strike/>
        </w:rPr>
        <w:t xml:space="preserve">up to twelve days per year</w:t>
      </w:r>
      <w:r>
        <w:t>))</w:t>
      </w:r>
      <w:r>
        <w:rPr/>
        <w:t xml:space="preserve"> may be used for the purpose of payments for unused sick leave </w:t>
      </w:r>
      <w:r>
        <w:rPr>
          <w:u w:val="single"/>
        </w:rPr>
        <w:t xml:space="preserve">in accordance with RCW 28A.400.210</w:t>
      </w:r>
      <w:r>
        <w:rPr/>
        <w:t xml:space="preser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center for deaf and hard of hearing youth,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w:t>
      </w:r>
      <w:r>
        <w:rPr>
          <w:u w:val="single"/>
        </w:rPr>
        <w:t xml:space="preserve">,</w:t>
      </w:r>
      <w:r>
        <w:rPr/>
        <w:t xml:space="preserve"> and other benefits that the employee had in his or her previous position. However,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w:t>
      </w:r>
      <w:r>
        <w:rPr>
          <w:u w:val="single"/>
        </w:rPr>
        <w:t xml:space="preserve">,</w:t>
      </w:r>
      <w:r>
        <w:rPr/>
        <w:t xml:space="preserve">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
      <w:pPr>
        <w:jc w:val="center"/>
      </w:pPr>
      <w:r>
        <w:rPr>
          <w:b/>
        </w:rPr>
        <w:t>--- END ---</w:t>
      </w:r>
    </w:p>
    <w:sectPr>
      <w:pgNumType w:start="1"/>
      <w:footerReference xmlns:r="http://schemas.openxmlformats.org/officeDocument/2006/relationships" r:id="R4574cc37c22742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552ef7ac24499e" /><Relationship Type="http://schemas.openxmlformats.org/officeDocument/2006/relationships/footer" Target="/word/footer1.xml" Id="R4574cc37c2274225" /></Relationships>
</file>