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5b087073142d4" /></Relationships>
</file>

<file path=word/document.xml><?xml version="1.0" encoding="utf-8"?>
<w:document xmlns:w="http://schemas.openxmlformats.org/wordprocessingml/2006/main">
  <w:body>
    <w:p>
      <w:r>
        <w:t>S-5591.1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6406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Senate Law &amp; Justice (originally sponsored by Senators Wilson, L., Holy, Becker, Padden, Wagoner, Muzzall, Short, Schoesler, Warnick, Ericksen, Braun, Brown, Honeyford, O'Ban, and Rivers)</w:t>
      </w:r>
    </w:p>
    <w:p/>
    <w:p>
      <w:r>
        <w:rPr>
          <w:t xml:space="preserve">READ FIRST TIME 01/24/20.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firearm theft; reenacting and amending RCW 9.94A.515; adding a new section to chapter 9A.56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theft of a firearm from a residence, store, shop, sales outlet, or vehicle if he or she commits a theft of any firearm from a residence, store, shop, or sales outlet where firearms are sold, or from any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applies regardless of the value of the firearm taken in the theft.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Each firearm taken in the theft under this section is a separate offense.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For the purposes of this section, "theft" has the same meaning as defined in RCW 9A.56.020.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defense allowed against the prosecution for theft under RCW 9A.56.020 shall apply to the crime of theft of a firearm.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"Firearm" means any firearm as defined in RCW 9.41.010.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"Vehicle" means any vehicle as defined in RCW 46.04.670.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Theft of a firearm from a residence, store, shop, sales outlet, or vehicle is a class B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2019 c 271 s 7, 2019 c 243 s 5, 2019 c 64 s 3, and 2019 c 46 s 5009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Theft of a firearm from a residence, store, shop, sales outlet, or vehicle (section 1 of this act)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five thousand dollars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064b3c0e2954ad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6406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5b37419284d29" /><Relationship Type="http://schemas.openxmlformats.org/officeDocument/2006/relationships/footer" Target="/word/footer1.xml" Id="Rb064b3c0e2954ad4" /></Relationships>
</file>