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5c0c9325ca4a2b" /></Relationships>
</file>

<file path=word/document.xml><?xml version="1.0" encoding="utf-8"?>
<w:document xmlns:w="http://schemas.openxmlformats.org/wordprocessingml/2006/main">
  <w:body>
    <w:p>
      <w:r>
        <w:t>S-5355.2</w:t>
      </w:r>
    </w:p>
    <w:p>
      <w:pPr>
        <w:jc w:val="center"/>
      </w:pPr>
      <w:r>
        <w:t>_______________________________________________</w:t>
      </w:r>
    </w:p>
    <w:p/>
    <w:p>
      <w:pPr>
        <w:jc w:val="center"/>
      </w:pPr>
      <w:r>
        <w:rPr>
          <w:b/>
        </w:rPr>
        <w:t>SENATE BILL 6504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Darneille, Conway, Lovelett, Hasegawa, Nguyen, and Wilson, C.</w:t>
      </w:r>
    </w:p>
    <w:p/>
    <w:p>
      <w:r>
        <w:rPr>
          <w:t xml:space="preserve">Read first time 01/20/20.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facilities that are operated by a private entity in which persons are detained in custody under process of law pending the outcome of legal proceedings are not essential public facilities under the growth management act; amending RCW 36.70A.200;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 </w:t>
      </w:r>
      <w:r>
        <w:rPr>
          <w:u w:val="single"/>
        </w:rPr>
        <w:t xml:space="preserve">Essential public facilities do not include facilities that are operated by a private entity in which persons are detained in custody under process of law pending the outcome of legal proceedings but are not used for the primary purpose of punishment, correction, counseling, or rehabilitation following the conviction of a criminal offense, nor for the primary purpose of providing evaluation and treatment, forensic services, mental health services, or medical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land use actions imposed prior to January 1, 2018, as well as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efbc779287440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32d05923ce45a0" /><Relationship Type="http://schemas.openxmlformats.org/officeDocument/2006/relationships/footer" Target="/word/footer1.xml" Id="R4efbc77928744060" /></Relationships>
</file>