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bef89bad754e16" /></Relationships>
</file>

<file path=word/document.xml><?xml version="1.0" encoding="utf-8"?>
<w:document xmlns:w="http://schemas.openxmlformats.org/wordprocessingml/2006/main">
  <w:body>
    <w:p>
      <w:r>
        <w:t>S-5537.1</w:t>
      </w:r>
    </w:p>
    <w:p>
      <w:pPr>
        <w:jc w:val="center"/>
      </w:pPr>
      <w:r>
        <w:t>_______________________________________________</w:t>
      </w:r>
    </w:p>
    <w:p/>
    <w:p>
      <w:pPr>
        <w:jc w:val="center"/>
      </w:pPr>
      <w:r>
        <w:rPr>
          <w:b/>
        </w:rPr>
        <w:t>SENATE BILL 6577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Nguyen, Das, Darneille, Saldaña, and Wilson, C.</w:t>
      </w:r>
    </w:p>
    <w:p/>
    <w:p>
      <w:r>
        <w:rPr>
          <w:t xml:space="preserve">Read first time 01/23/20.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child savings account program;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children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educational savings accounts.</w:t>
      </w:r>
    </w:p>
    <w:p>
      <w:pPr>
        <w:spacing w:before="0" w:after="0" w:line="408" w:lineRule="exact"/>
        <w:ind w:left="0" w:right="0" w:firstLine="576"/>
        <w:jc w:val="left"/>
      </w:pPr>
      <w:r>
        <w:rPr/>
        <w:t xml:space="preserve">(2) The legislature recognizes that in order to have a skilled and educated workforce it is vitally important for the state to encourage young people to pursue their dreams of attending and completing postsecondary educational programs of their choice, whether that may be a college degree or a postsecondary certificate.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there are over ninety-five child savings account programs across the country, seventeen of which are state-level children's educational savings account programs that were created either statutorily or administratively. Each program models different approaches and strategies that can be taken to expand educational opportunity and financial capability to all families. Many of the state and local governments have leveraged their community of private donors to strengthen and reinforce their programs and foster community engagement. Cultivating community support creates a larger higher education and career-readiness environment where community leaders become champions for kids and local philanthropic organizations recognize the value in investing in their community's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complete a study examining design options for a statewide child savings account program in Washington that includes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t xml:space="preserve">(2) At a minimum, the study examining design options and creating an implementation plan for a child savings account program must include the following elements:</w:t>
      </w:r>
    </w:p>
    <w:p>
      <w:pPr>
        <w:spacing w:before="0" w:after="0" w:line="408" w:lineRule="exact"/>
        <w:ind w:left="0" w:right="0" w:firstLine="576"/>
        <w:jc w:val="left"/>
      </w:pPr>
      <w:r>
        <w:rPr/>
        <w:t xml:space="preserve">(a) Program account options and mechanisms for automatic enrollment in the child savings account program at birth unless parents opt out;</w:t>
      </w:r>
    </w:p>
    <w:p>
      <w:pPr>
        <w:spacing w:before="0" w:after="0" w:line="408" w:lineRule="exact"/>
        <w:ind w:left="0" w:right="0" w:firstLine="576"/>
        <w:jc w:val="left"/>
      </w:pPr>
      <w:r>
        <w:rPr/>
        <w:t xml:space="preserve">(b)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t xml:space="preserve">(c) Incentive structures so that families that participate and contribute, regardless of amount, can receive bonus deposits;</w:t>
      </w:r>
    </w:p>
    <w:p>
      <w:pPr>
        <w:spacing w:before="0" w:after="0" w:line="408" w:lineRule="exact"/>
        <w:ind w:left="0" w:right="0" w:firstLine="576"/>
        <w:jc w:val="left"/>
      </w:pPr>
      <w:r>
        <w:rPr/>
        <w:t xml:space="preserve">(d)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t xml:space="preserve">(e)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t xml:space="preserve">(f) Possible ways for the state to collaborate with the philanthropic and private sectors; and</w:t>
      </w:r>
    </w:p>
    <w:p>
      <w:pPr>
        <w:spacing w:before="0" w:after="0" w:line="408" w:lineRule="exact"/>
        <w:ind w:left="0" w:right="0" w:firstLine="576"/>
        <w:jc w:val="left"/>
      </w:pPr>
      <w:r>
        <w:rPr/>
        <w:t xml:space="preserve">(g) Possible ways for the accounts of foster children and youth to grow.</w:t>
      </w:r>
    </w:p>
    <w:p>
      <w:pPr>
        <w:spacing w:before="0" w:after="0" w:line="408" w:lineRule="exact"/>
        <w:ind w:left="0" w:right="0" w:firstLine="576"/>
        <w:jc w:val="left"/>
      </w:pPr>
      <w:r>
        <w:rPr/>
        <w:t xml:space="preserve">(3) In developing the implementation plan, the council may consult with the following entities:</w:t>
      </w:r>
    </w:p>
    <w:p>
      <w:pPr>
        <w:spacing w:before="0" w:after="0" w:line="408" w:lineRule="exact"/>
        <w:ind w:left="0" w:right="0" w:firstLine="576"/>
        <w:jc w:val="left"/>
      </w:pPr>
      <w:r>
        <w:rPr/>
        <w:t xml:space="preserve">(a) The economic services administration;</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children, youth, and families;</w:t>
      </w:r>
    </w:p>
    <w:p>
      <w:pPr>
        <w:spacing w:before="0" w:after="0" w:line="408" w:lineRule="exact"/>
        <w:ind w:left="0" w:right="0" w:firstLine="576"/>
        <w:jc w:val="left"/>
      </w:pPr>
      <w:r>
        <w:rPr/>
        <w:t xml:space="preserve">(d) The department of financial institutions;</w:t>
      </w:r>
    </w:p>
    <w:p>
      <w:pPr>
        <w:spacing w:before="0" w:after="0" w:line="408" w:lineRule="exact"/>
        <w:ind w:left="0" w:right="0" w:firstLine="576"/>
        <w:jc w:val="left"/>
      </w:pPr>
      <w:r>
        <w:rPr/>
        <w:t xml:space="preserve">(e) The office of the state treasurer;</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t xml:space="preserve">(h) Institutions of higher education or research or policy organizations with expertise in asset building and child savings accounts;</w:t>
      </w:r>
    </w:p>
    <w:p>
      <w:pPr>
        <w:spacing w:before="0" w:after="0" w:line="408" w:lineRule="exact"/>
        <w:ind w:left="0" w:right="0" w:firstLine="576"/>
        <w:jc w:val="left"/>
      </w:pPr>
      <w:r>
        <w:rPr/>
        <w:t xml:space="preserve">(i) Not-for-profit foundations, organizations, or agencies in Washington who are already operating child savings account programs in their communities;</w:t>
      </w:r>
    </w:p>
    <w:p>
      <w:pPr>
        <w:spacing w:before="0" w:after="0" w:line="408" w:lineRule="exact"/>
        <w:ind w:left="0" w:right="0" w:firstLine="576"/>
        <w:jc w:val="left"/>
      </w:pPr>
      <w:r>
        <w:rPr/>
        <w:t xml:space="preserve">(j) Philanthropic organizations and foundations with an interest in providing philanthropic support for child savings accounts in Washington state; and</w:t>
      </w:r>
    </w:p>
    <w:p>
      <w:pPr>
        <w:spacing w:before="0" w:after="0" w:line="408" w:lineRule="exact"/>
        <w:ind w:left="0" w:right="0" w:firstLine="576"/>
        <w:jc w:val="left"/>
      </w:pPr>
      <w:r>
        <w:rPr/>
        <w:t xml:space="preserve">(k)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t xml:space="preserve">(4)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t xml:space="preserve">(5) This section expires December 1, 2021.</w:t>
      </w:r>
    </w:p>
    <w:p/>
    <w:p>
      <w:pPr>
        <w:jc w:val="center"/>
      </w:pPr>
      <w:r>
        <w:rPr>
          <w:b/>
        </w:rPr>
        <w:t>--- END ---</w:t>
      </w:r>
    </w:p>
    <w:sectPr>
      <w:pgNumType w:start="1"/>
      <w:footerReference xmlns:r="http://schemas.openxmlformats.org/officeDocument/2006/relationships" r:id="Rff44a49557774e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23fff82ad4f3b" /><Relationship Type="http://schemas.openxmlformats.org/officeDocument/2006/relationships/footer" Target="/word/footer1.xml" Id="Rff44a49557774e35" /></Relationships>
</file>