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92c1f2b2834071" /></Relationships>
</file>

<file path=word/document.xml><?xml version="1.0" encoding="utf-8"?>
<w:document xmlns:w="http://schemas.openxmlformats.org/wordprocessingml/2006/main">
  <w:body>
    <w:p>
      <w:r>
        <w:t>S-5570.1</w:t>
      </w:r>
    </w:p>
    <w:p>
      <w:pPr>
        <w:jc w:val="center"/>
      </w:pPr>
      <w:r>
        <w:t>_______________________________________________</w:t>
      </w:r>
    </w:p>
    <w:p/>
    <w:p>
      <w:pPr>
        <w:jc w:val="center"/>
      </w:pPr>
      <w:r>
        <w:rPr>
          <w:b/>
        </w:rPr>
        <w:t>SENATE BILL 6602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accounting for differences across counties in setting new wage standards; amending RCW 49.46.010;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wages and the cost of living across the state vary significantly by county, particularly between King county and adjacent counties and rural counties. In 2018, the median hourly wage statewide was twenty-six dollars and three cents, while King county had the highest median hourly wage of thirty-three dollars and twenty-six cents and Okanogan county had the lowest median hourly wage of sixteen dollars and fifty cents. Similarly, the cost of living is significantly lower in Okanogan county than it is in King county, as demonstrated by median home prices of two hundred thousand dollars and six hundred eighty-three thousand two hundred dollars, respectively, in 2019. The legislature therefore intends to require that any new or revised laws or rules tied to wages be based on the median hourly wage in each individual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w:t>
      </w:r>
      <w:r>
        <w:rPr>
          <w:u w:val="single"/>
        </w:rPr>
        <w:t xml:space="preserve">(i)</w:t>
      </w:r>
      <w:r>
        <w:rPr/>
        <w:t xml:space="preserve">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u w:val="single"/>
        </w:rPr>
        <w:t xml:space="preserve">(ii) In defining and delimiting the terms in (c)(i) of this subsection (3), the director or human resources director must adjust salary or wage thresholds for each county in accordance with actual median hourly wage differences between counties</w:t>
      </w:r>
      <w:r>
        <w:rPr>
          <w:u w:val="single"/>
        </w:rPr>
        <w:t xml:space="preserve">, as follows:</w:t>
      </w:r>
    </w:p>
    <w:p>
      <w:pPr>
        <w:spacing w:before="0" w:after="0" w:line="408" w:lineRule="exact"/>
        <w:ind w:left="0" w:right="0" w:firstLine="576"/>
        <w:jc w:val="left"/>
      </w:pPr>
      <w:r>
        <w:rPr>
          <w:u w:val="single"/>
        </w:rPr>
        <w:t xml:space="preserve">(A) The thresholds must be adjusted downward from the county with the highest median hourly wage, in direct proportion to the percentage differences between each county's median hourly wage, except that no threshold may go below the current federal overtime salary threshold under the federal fair labor standards act in effect at the time of adjustment;</w:t>
      </w:r>
    </w:p>
    <w:p>
      <w:pPr>
        <w:spacing w:before="0" w:after="0" w:line="408" w:lineRule="exact"/>
        <w:ind w:left="0" w:right="0" w:firstLine="576"/>
        <w:jc w:val="left"/>
      </w:pPr>
      <w:r>
        <w:rPr>
          <w:u w:val="single"/>
        </w:rPr>
        <w:t xml:space="preserve">(B) Any salary or wage threshold under (c)(i) of this subsection (3) in existence on July 1, 2020, must be revised in accordance with (c)(ii) of this subsection (3) by January 1, 2021, and must use the 2018 county median hourly wage data from unemployment insurance tax returns submitted to the employment security department; and</w:t>
      </w:r>
    </w:p>
    <w:p>
      <w:pPr>
        <w:spacing w:before="0" w:after="0" w:line="408" w:lineRule="exact"/>
        <w:ind w:left="0" w:right="0" w:firstLine="576"/>
        <w:jc w:val="left"/>
      </w:pPr>
      <w:r>
        <w:rPr>
          <w:u w:val="single"/>
        </w:rPr>
        <w:t xml:space="preserve">(C) Any salary or wage threshold promulgated under (c)(i) of this subsection (3) after January 1, 2021, must use the most recent county median hourly wage data from unemployment insurance tax returns submitted to the employment security department;</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
      <w:pPr>
        <w:jc w:val="center"/>
      </w:pPr>
      <w:r>
        <w:rPr>
          <w:b/>
        </w:rPr>
        <w:t>--- END ---</w:t>
      </w:r>
    </w:p>
    <w:sectPr>
      <w:pgNumType w:start="1"/>
      <w:footerReference xmlns:r="http://schemas.openxmlformats.org/officeDocument/2006/relationships" r:id="Radfde413914948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6835d3f154f74" /><Relationship Type="http://schemas.openxmlformats.org/officeDocument/2006/relationships/footer" Target="/word/footer1.xml" Id="Radfde4139149486f" /></Relationships>
</file>