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565e73e848484f" /></Relationships>
</file>

<file path=word/document.xml><?xml version="1.0" encoding="utf-8"?>
<w:document xmlns:w="http://schemas.openxmlformats.org/wordprocessingml/2006/main">
  <w:body>
    <w:p>
      <w:r>
        <w:t>S-4057.1</w:t>
      </w:r>
    </w:p>
    <w:p>
      <w:pPr>
        <w:jc w:val="center"/>
      </w:pPr>
      <w:r>
        <w:t>_______________________________________________</w:t>
      </w:r>
    </w:p>
    <w:p/>
    <w:p>
      <w:pPr>
        <w:jc w:val="center"/>
      </w:pPr>
      <w:r>
        <w:rPr>
          <w:b/>
        </w:rPr>
        <w:t>SENATE JOINT RESOLUTION 8211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Keiser, Palumbo, Schoesler, Conway, and Van De Wege</w:t>
      </w:r>
    </w:p>
    <w:p/>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of the Constitution of the state of Washington by adding a new section to read as follows:</w:t>
      </w:r>
    </w:p>
    <w:p>
      <w:pPr>
        <w:spacing w:before="0" w:after="0" w:line="408" w:lineRule="exact"/>
        <w:ind w:left="0" w:right="0" w:firstLine="576"/>
        <w:jc w:val="left"/>
      </w:pPr>
      <w:r>
        <w:rPr/>
        <w:t xml:space="preserve">Article VII, section . . .. Notwithstanding any other section or article of this Constitution, revenues from premiums, contributions, or other charges imposed on wages for the purpose of creating an actuarially sound system for the provision of future benefits or services only to payers must be deposited into a special fund in the state treasury to be used exclusively for the purposes for which it was imposed.</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6c20325e0134cd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d845796d88429c" /><Relationship Type="http://schemas.openxmlformats.org/officeDocument/2006/relationships/footer" Target="/word/footer1.xml" Id="R66c20325e0134cd7" /></Relationships>
</file>