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059c6ea2dd44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5023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2019</w:t>
            </w:r>
          </w:p>
          <w:p>
            <w:pPr>
              <w:ind w:left="0" w:right="0" w:firstLine="360"/>
            </w:pPr>
            <w:r>
              <w:t xml:space="preserve">Yeas </w:t>
              <w:t xml:space="preserve">33</w:t>
            </w:r>
            <w:r>
              <w:t xml:space="preserve">  Nays </w:t>
              <w:t xml:space="preserve">16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4, 2019</w:t>
            </w:r>
          </w:p>
          <w:p>
            <w:pPr>
              <w:ind w:left="0" w:right="0" w:firstLine="360"/>
            </w:pPr>
            <w:r>
              <w:t xml:space="preserve">Yeas </w:t>
              <w:t xml:space="preserve">58</w:t>
            </w:r>
            <w:r>
              <w:t xml:space="preserve">  Nays </w:t>
              <w:t xml:space="preserve">35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5023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5023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Hasegawa, Conway, Frockt, Wellman, Wilson, C., and Saldaña)</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ethnic studies materials and resources for public school students; adding a new section to chapter 28A.655 RCW; adding a new section to chapter 28A.300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stated in RCW 28A.150.210 that a "basic education is an evolving program of instruction that is intended to provide students with the opportunity to become responsible and respectful global citizens." In order to prepare students to be global citizens, the legislature intends to require the office of the superintendent of public instruction to develop, and periodically update, essential academic learning requirements and grade-level expectations that identify the knowledge and skills that all public school students need to be global citizens in a global society with an appreciation for the contributions of diverse cultures. The office of the superintendent of public instruction must also identify and make available ethnic studies materials and resources for use in grades seven through twelve. The legislature also intends to encourage public schools with students in grades seven through twelve to offer an ethnic studies course that incorporates the materials and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By September 1, 2020, the office of the superintendent of public instruction shall adopt essential academic learning requirements and grade-level expectations that identify the knowledge and skills that all public school students need to be global citizens in a global society with an appreciation for the contributions of diverse cultures. These essential academic learning requirements and grade-level expectations must be periodically updated to incorporate best practices in ethnic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September 1, 2020, the office of the superintendent of public instruction shall identify and make available ethnic studies materials and resources for use in grades seven through twelve. The materials and resources must be designed to prepare students to be global citizens in a global society with an appreciation for the contributions of multiple cultures. The materials and resources must be posted on the office of the superintendent of public instruction's web site.</w:t>
      </w:r>
    </w:p>
    <w:p>
      <w:pPr>
        <w:spacing w:before="0" w:after="0" w:line="408" w:lineRule="exact"/>
        <w:ind w:left="0" w:right="0" w:firstLine="576"/>
        <w:jc w:val="left"/>
      </w:pPr>
      <w:r>
        <w:rPr/>
        <w:t xml:space="preserve">(2) Public schools with students in grades seven through twelve are encouraged to offer an ethnic studies course that incorporates the materials and resources identified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must establish an ethnic studies advisory committee to:</w:t>
      </w:r>
    </w:p>
    <w:p>
      <w:pPr>
        <w:spacing w:before="0" w:after="0" w:line="408" w:lineRule="exact"/>
        <w:ind w:left="0" w:right="0" w:firstLine="576"/>
        <w:jc w:val="left"/>
      </w:pPr>
      <w:r>
        <w:rPr/>
        <w:t xml:space="preserve">(a) Advise, assist, and make recommendations to the office of the superintendent of public instruction regarding the identification of ethnic studies materials and resources: (i) Described under section 3 of this act; and (ii) for use in elementary schools; and</w:t>
      </w:r>
    </w:p>
    <w:p>
      <w:pPr>
        <w:spacing w:before="0" w:after="0" w:line="408" w:lineRule="exact"/>
        <w:ind w:left="0" w:right="0" w:firstLine="576"/>
        <w:jc w:val="left"/>
      </w:pPr>
      <w:r>
        <w:rPr/>
        <w:t xml:space="preserve">(b) Develop a framework to support the teaching of ethnic studies to students in grades seven through twelve.</w:t>
      </w:r>
    </w:p>
    <w:p>
      <w:pPr>
        <w:spacing w:before="0" w:after="0" w:line="408" w:lineRule="exact"/>
        <w:ind w:left="0" w:right="0" w:firstLine="576"/>
        <w:jc w:val="left"/>
      </w:pPr>
      <w:r>
        <w:rPr/>
        <w:t xml:space="preserve">(2) The ethnic studies advisory committee must be composed of a majority of educators with experience in teaching ethnic studies from public high schools and institutions of higher education, including educators representing the Washington state commissions on African American affairs, Asian Pacific American affairs, and Hispanic affairs.</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nothing in this act supersedes the use of the Since Time Immemorial: Tribal sovereignty in Washington state curriculum, developed as required under RCW 28A.320.170(1)(b).</w:t>
      </w:r>
    </w:p>
    <w:p/>
    <w:p>
      <w:pPr>
        <w:jc w:val="center"/>
      </w:pPr>
      <w:r>
        <w:rPr>
          <w:b/>
        </w:rPr>
        <w:t>--- END ---</w:t>
      </w:r>
    </w:p>
    <w:sectPr>
      <w:pgNumType w:start="1"/>
      <w:footerReference xmlns:r="http://schemas.openxmlformats.org/officeDocument/2006/relationships" r:id="R58820401d09540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2634506fc44349" /><Relationship Type="http://schemas.openxmlformats.org/officeDocument/2006/relationships/footer" Target="/word/footer1.xml" Id="R58820401d0954036" /></Relationships>
</file>