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b5425a01b43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Hasegawa, Pedersen, Kuderer, Darneille, McCoy, Saldaña, Dhingra, Frockt, Wilson, C., Liias, Palumbo, and Nguyen)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trier of fact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w:t>
      </w:r>
      <w:r>
        <w:t>((</w:t>
      </w:r>
      <w:r>
        <w:rPr>
          <w:strike/>
        </w:rPr>
        <w:t xml:space="preserve">jury</w:t>
      </w:r>
      <w:r>
        <w:t>))</w:t>
      </w:r>
      <w:r>
        <w:rPr/>
        <w:t xml:space="preserve"> </w:t>
      </w:r>
      <w:r>
        <w:rPr>
          <w:u w:val="single"/>
        </w:rPr>
        <w:t xml:space="preserve">trier of fact</w:t>
      </w:r>
      <w:r>
        <w:rPr/>
        <w:t xml:space="preserve">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trier of fact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damages for the decedent's pain and suffering, anxiety, emotional distress, or humiliation, in such amounts as determined by a trier of fact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trier of fact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d19e53d3b65640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bbc49eab84f91" /><Relationship Type="http://schemas.openxmlformats.org/officeDocument/2006/relationships/footer" Target="/word/footer1.xml" Id="Rd19e53d3b6564018" /></Relationships>
</file>