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84345eb97e4f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Zeiger, Hunt, Hobbs, Takko, Bailey, and Conway</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to waive statutory obligations or limitations during a state of emergency in order to cope with the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43.06.220(1)(h)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43.06.220(1)(h)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w:t>
      </w:r>
      <w:r>
        <w:t>((</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t>))</w:t>
      </w:r>
      <w:r>
        <w:rPr/>
        <w:t xml:space="preserve"> The sale, purchase or dispensing of alcoholic beverages;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use of certain streets, highways or public ways by the public;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w:t>
      </w:r>
      <w:r>
        <w:t>((</w:t>
      </w:r>
      <w:r>
        <w:rPr>
          <w:strike/>
        </w:rPr>
        <w:t xml:space="preserve">any or all of</w:t>
      </w:r>
      <w:r>
        <w:t>))</w:t>
      </w:r>
      <w:r>
        <w:rPr/>
        <w:t xml:space="preserve"> the following areas </w:t>
      </w:r>
      <w:r>
        <w:t>((</w:t>
      </w:r>
      <w:r>
        <w:rPr>
          <w:strike/>
        </w:rPr>
        <w:t xml:space="preserve">as further specified and limited by chapter 181, Laws of 2008</w:t>
      </w:r>
      <w:r>
        <w:t>))</w:t>
      </w:r>
      <w:r>
        <w:rPr/>
        <w:t xml:space="preserve">:</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f5e45df27d1d43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f42b6ffb94297" /><Relationship Type="http://schemas.openxmlformats.org/officeDocument/2006/relationships/footer" Target="/word/footer1.xml" Id="Rf5e45df27d1d4366" /></Relationships>
</file>