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75c0f49684a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5272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36</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74</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 Hunt)</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w:t>
      </w:r>
      <w:r>
        <w:rPr>
          <w:u w:val="single"/>
        </w:rPr>
        <w:t xml:space="preserve">one million</w:t>
      </w:r>
      <w:r>
        <w:rPr/>
        <w:t xml:space="preserve"> five hundred thousand in which any city over fifty thousand operates emergency communication systems and facilities </w:t>
      </w:r>
      <w:r>
        <w:t>((</w:t>
      </w:r>
      <w:r>
        <w:rPr>
          <w:strike/>
        </w:rPr>
        <w:t xml:space="preserve">shall</w:t>
      </w:r>
      <w:r>
        <w:t>))</w:t>
      </w:r>
      <w:r>
        <w:rPr/>
        <w:t xml:space="preserve"> </w:t>
      </w:r>
      <w:r>
        <w:rPr>
          <w:u w:val="single"/>
        </w:rPr>
        <w:t xml:space="preserve">either independently or as a member of a regional emergency communication agency 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w:t>
      </w:r>
      <w:r>
        <w:rPr>
          <w:u w:val="single"/>
        </w:rPr>
        <w:t xml:space="preserve">Prior to submitting the tax authorized in subsection (2) of this section to the voters, a county with a population of more than five hundred thousand but less than one million five hundred thousand in which any city over fifty thousand operates emergency communication systems and facilities must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(8)</w:t>
      </w:r>
      <w:r>
        <w:rPr>
          <w:u w:val="single"/>
        </w:rPr>
        <w:t xml:space="preserve"> A county imposing the tax authorized under this section on the effective date of this section must submit an authorizing proposition to the voters as provided under this section to increase the rate of tax.</w:t>
      </w:r>
    </w:p>
    <w:p>
      <w:pPr>
        <w:spacing w:before="0" w:after="0" w:line="408" w:lineRule="exact"/>
        <w:ind w:left="0" w:right="0" w:firstLine="576"/>
        <w:jc w:val="left"/>
      </w:pPr>
      <w:r>
        <w:rPr>
          <w:u w:val="single"/>
        </w:rPr>
        <w:t xml:space="preserve">(9) The Washington state patrol must enter into an intergovernmental agreement, with a county, city, or regional communications agency that operates emergency communications systems, for purposes of interoperable communications, if the following conditions are met:</w:t>
      </w:r>
    </w:p>
    <w:p>
      <w:pPr>
        <w:spacing w:before="0" w:after="0" w:line="408" w:lineRule="exact"/>
        <w:ind w:left="0" w:right="0" w:firstLine="576"/>
        <w:jc w:val="left"/>
      </w:pPr>
      <w:r>
        <w:rPr>
          <w:u w:val="single"/>
        </w:rPr>
        <w:t xml:space="preserve">(a) The intergovernmental agreement is requested by the county, city, or regional communications agency for this purpose; and</w:t>
      </w:r>
    </w:p>
    <w:p>
      <w:pPr>
        <w:spacing w:before="0" w:after="0" w:line="408" w:lineRule="exact"/>
        <w:ind w:left="0" w:right="0" w:firstLine="576"/>
        <w:jc w:val="left"/>
      </w:pPr>
      <w:r>
        <w:rPr>
          <w:u w:val="single"/>
        </w:rPr>
        <w:t xml:space="preserve">(b) The terms and conditions are mutually agreeable.</w:t>
      </w:r>
    </w:p>
    <w:p/>
    <w:p>
      <w:pPr>
        <w:jc w:val="center"/>
      </w:pPr>
      <w:r>
        <w:rPr>
          <w:b/>
        </w:rPr>
        <w:t>--- END ---</w:t>
      </w:r>
    </w:p>
    <w:sectPr>
      <w:pgNumType w:start="1"/>
      <w:footerReference xmlns:r="http://schemas.openxmlformats.org/officeDocument/2006/relationships" r:id="Rab99b44fc48647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6e5784499454c" /><Relationship Type="http://schemas.openxmlformats.org/officeDocument/2006/relationships/footer" Target="/word/footer1.xml" Id="Rab99b44fc4864792" /></Relationships>
</file>