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a7a24c770401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5511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24,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16,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5511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5511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Wellman, Sheldon, Carlyle, Short, McCoy, Nguyen, Takko, Cleveland, Darneille, Dhingra, Liias, Mullet, Saldaña, and Frockt;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new sections; repealing RCW 43.330.415, 43.330.418, and 80.36.620;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at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in collaboration with the office,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separate accounting in the statewide broadband account created in section 8 of this act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Evidence regarding the unserved nature of the community in which the project is to be located;</w:t>
      </w:r>
    </w:p>
    <w:p>
      <w:pPr>
        <w:spacing w:before="0" w:after="0" w:line="408" w:lineRule="exact"/>
        <w:ind w:left="0" w:right="0" w:firstLine="576"/>
        <w:jc w:val="left"/>
      </w:pPr>
      <w:r>
        <w:rPr/>
        <w:t xml:space="preserve">(c) Evidence that proposed infrastructure will be capable of scaling to greater download and upload speeds;</w:t>
      </w:r>
    </w:p>
    <w:p>
      <w:pPr>
        <w:spacing w:before="0" w:after="0" w:line="408" w:lineRule="exact"/>
        <w:ind w:left="0" w:right="0" w:firstLine="576"/>
        <w:jc w:val="left"/>
      </w:pPr>
      <w:r>
        <w:rPr/>
        <w:t xml:space="preserve">(d)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(e) The estimated cost of retail services to end users facilitated by a project;</w:t>
      </w:r>
    </w:p>
    <w:p>
      <w:pPr>
        <w:spacing w:before="0" w:after="0" w:line="408" w:lineRule="exact"/>
        <w:ind w:left="0" w:right="0" w:firstLine="576"/>
        <w:jc w:val="left"/>
      </w:pPr>
      <w:r>
        <w:rPr/>
        <w:t xml:space="preserve">(f) The proposed actual download and upload speeds experienced by end users;</w:t>
      </w:r>
    </w:p>
    <w:p>
      <w:pPr>
        <w:spacing w:before="0" w:after="0" w:line="408" w:lineRule="exact"/>
        <w:ind w:left="0" w:right="0" w:firstLine="576"/>
        <w:jc w:val="left"/>
      </w:pPr>
      <w:r>
        <w:rPr/>
        <w:t xml:space="preserve">(g) Evidence of significant community institutions that will benefit from the proposed project;</w:t>
      </w:r>
    </w:p>
    <w:p>
      <w:pPr>
        <w:spacing w:before="0" w:after="0" w:line="408" w:lineRule="exact"/>
        <w:ind w:left="0" w:right="0" w:firstLine="576"/>
        <w:jc w:val="left"/>
      </w:pPr>
      <w:r>
        <w:rPr/>
        <w:t xml:space="preserve">(h) Anticipated economic, educational, health care, or public safety benefits created by the project;</w:t>
      </w:r>
    </w:p>
    <w:p>
      <w:pPr>
        <w:spacing w:before="0" w:after="0" w:line="408" w:lineRule="exact"/>
        <w:ind w:left="0" w:right="0" w:firstLine="576"/>
        <w:jc w:val="left"/>
      </w:pPr>
      <w:r>
        <w:rPr/>
        <w:t xml:space="preserve">(i) Evidence of community support for the project;</w:t>
      </w:r>
    </w:p>
    <w:p>
      <w:pPr>
        <w:spacing w:before="0" w:after="0" w:line="408" w:lineRule="exact"/>
        <w:ind w:left="0" w:right="0" w:firstLine="576"/>
        <w:jc w:val="left"/>
      </w:pPr>
      <w:r>
        <w:rPr/>
        <w:t xml:space="preserve">(j)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(k) The estimated total cost of the project;</w:t>
      </w:r>
    </w:p>
    <w:p>
      <w:pPr>
        <w:spacing w:before="0" w:after="0" w:line="408" w:lineRule="exact"/>
        <w:ind w:left="0" w:right="0" w:firstLine="576"/>
        <w:jc w:val="left"/>
      </w:pPr>
      <w:r>
        <w:rPr/>
        <w:t xml:space="preserve">(l) Other sources of funding for the project that will supplement any grant or loan award;</w:t>
      </w:r>
    </w:p>
    <w:p>
      <w:pPr>
        <w:spacing w:before="0" w:after="0" w:line="408" w:lineRule="exact"/>
        <w:ind w:left="0" w:right="0" w:firstLine="576"/>
        <w:jc w:val="left"/>
      </w:pPr>
      <w:r>
        <w:rPr/>
        <w:t xml:space="preserve">(m)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(n) A strategic plan to maintain long-term operation of the infrastructure;</w:t>
      </w:r>
    </w:p>
    <w:p>
      <w:pPr>
        <w:spacing w:before="0" w:after="0" w:line="408" w:lineRule="exact"/>
        <w:ind w:left="0" w:right="0" w:firstLine="576"/>
        <w:jc w:val="left"/>
      </w:pPr>
      <w:r>
        <w:rPr/>
        <w:t xml:space="preserve">(o)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(p) If applicable, the broadband service providers' written responses to the inquiry made under (o) of this subsection; and</w:t>
      </w:r>
    </w:p>
    <w:p>
      <w:pPr>
        <w:spacing w:before="0" w:after="0" w:line="408" w:lineRule="exact"/>
        <w:ind w:left="0" w:right="0" w:firstLine="576"/>
        <w:jc w:val="left"/>
      </w:pPr>
      <w:r>
        <w:rPr/>
        <w:t xml:space="preserve">(q)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procedures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 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support, additional federal support, or both;</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in collaboration with the office,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in collaboration with the office,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in collaboration with the office,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No funds awarded under this section may fund more than fifty percent of the total cost of the project, except as provided in (b) of this subsection.</w:t>
      </w:r>
    </w:p>
    <w:p>
      <w:pPr>
        <w:spacing w:before="0" w:after="0" w:line="408" w:lineRule="exact"/>
        <w:ind w:left="0" w:right="0" w:firstLine="576"/>
        <w:jc w:val="left"/>
      </w:pPr>
      <w:r>
        <w:rPr/>
        <w:t xml:space="preserve">(b) The board may choose to fund up to ninety percent of the total cost of a project in financially distressed areas as the term "distressed area" is defined in RCW 43.168.020, and in areas identified as Indian country as the term "Indian country" is defined in WAC 458-20-192.</w:t>
      </w:r>
    </w:p>
    <w:p>
      <w:pPr>
        <w:spacing w:before="0" w:after="0" w:line="408" w:lineRule="exact"/>
        <w:ind w:left="0" w:right="0" w:firstLine="576"/>
        <w:jc w:val="left"/>
      </w:pPr>
      <w:r>
        <w:rPr/>
        <w:t xml:space="preserve">(c) Funds awarded to a single project under this section must not exceed two million dollars, except that the board may choose to fund projects qualifying for the exception in (b) of this subsection up to, but not to exceed, five million dollars.</w:t>
      </w:r>
    </w:p>
    <w:p>
      <w:pPr>
        <w:spacing w:before="0" w:after="0" w:line="408" w:lineRule="exact"/>
        <w:ind w:left="0" w:right="0" w:firstLine="576"/>
        <w:jc w:val="left"/>
      </w:pPr>
      <w:r>
        <w:rPr/>
        <w:t xml:space="preserve">(10) Prior to awarding funds under this section, the board must consult with the Washington utilities and transportation commission. The commission must provide to the board an assessment of the technical feasibility of a proposed application. The board must consider the commission's assessment as part of its evaluation of a proposed application.</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infrastructure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w:t>
      </w:r>
      <w:r>
        <w:rPr>
          <w:u w:val="single"/>
        </w:rPr>
        <w:t xml:space="preserve">or retail</w:t>
      </w:r>
      <w:r>
        <w:rPr/>
        <w:t xml:space="preserv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w:t>
      </w:r>
      <w:r>
        <w:rPr>
          <w:u w:val="single"/>
        </w:rPr>
        <w:t xml:space="preserve">or retail</w:t>
      </w:r>
      <w:r>
        <w:rPr/>
        <w:t xml:space="preserv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u w:val="singl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498648e5586745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9f2b92c8d4e9c" /><Relationship Type="http://schemas.openxmlformats.org/officeDocument/2006/relationships/footer" Target="/word/footer1.xml" Id="R498648e558674568" /></Relationships>
</file>