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247147d1134a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Zeiger and Saldaña;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contractors but only with respect to providing financial recourse to harmed consumers not to include a warranty and creating a work group; and amending RCW 18.27.040.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2007 c 436 s 4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twelve thousand dollars if the applicant is a general contractor and six thousand dollars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July 1, 2001,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fifty dollars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required of a general contractor by this section to claimants other than residential homeowners must not exceed one-half of the bond amount. The total amount paid from a bond or deposit required of a specialty contractor by this section to claimants other than residential homeowners must not exceed one-half of the bond amount or four thousand dollars, whichever is greater.</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ten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ten days of entry of such an order constitutes a violation of this chapter and a penalty adopted by rule of not less than two hundred fifty dollars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w:t>
      </w:r>
      <w:r>
        <w:t>((</w:t>
      </w:r>
      <w:r>
        <w:rPr>
          <w:strike/>
        </w:rPr>
        <w:t xml:space="preserve">a total of three</w:t>
      </w:r>
      <w:r>
        <w:t>))</w:t>
      </w:r>
      <w:r>
        <w:rPr/>
        <w:t xml:space="preserve"> </w:t>
      </w:r>
      <w:r>
        <w:rPr>
          <w:u w:val="single"/>
        </w:rPr>
        <w:t xml:space="preserve">one</w:t>
      </w:r>
      <w:r>
        <w:rPr/>
        <w:t xml:space="preserve"> final judgment</w:t>
      </w:r>
      <w:r>
        <w:t>((</w:t>
      </w:r>
      <w:r>
        <w:rPr>
          <w:strike/>
        </w:rPr>
        <w:t xml:space="preserve">s</w:t>
      </w:r>
      <w:r>
        <w:t>))</w:t>
      </w:r>
      <w:r>
        <w:rPr/>
        <w:t xml:space="preserve"> in actions under this chapter involving a residential single-family dwelling </w:t>
      </w:r>
      <w:r>
        <w:t>((</w:t>
      </w:r>
      <w:r>
        <w:rPr>
          <w:strike/>
        </w:rPr>
        <w:t xml:space="preserve">on two or more different structures</w:t>
      </w:r>
      <w:r>
        <w:t>))</w:t>
      </w:r>
      <w:r>
        <w:rPr/>
        <w:t xml:space="preserve">.</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rPr>
          <w:u w:val="singl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u w:val="single"/>
        </w:rPr>
        <w:t xml:space="preserve"> 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u w:val="single"/>
        </w:rPr>
        <w:t xml:space="preserve">(i) Bond amounts are sufficient and appropriate to protect consumers, workers, and suppliers and meet tax obligations;</w:t>
      </w:r>
    </w:p>
    <w:p>
      <w:pPr>
        <w:spacing w:before="0" w:after="0" w:line="408" w:lineRule="exact"/>
        <w:ind w:left="0" w:right="0" w:firstLine="576"/>
        <w:jc w:val="left"/>
      </w:pPr>
      <w:r>
        <w:rPr>
          <w:u w:val="single"/>
        </w:rPr>
        <w:t xml:space="preserve">(ii) Additional criteria for contractors would provide a greater level of protection;</w:t>
      </w:r>
    </w:p>
    <w:p>
      <w:pPr>
        <w:spacing w:before="0" w:after="0" w:line="408" w:lineRule="exact"/>
        <w:ind w:left="0" w:right="0" w:firstLine="576"/>
        <w:jc w:val="left"/>
      </w:pPr>
      <w:r>
        <w:rPr>
          <w:u w:val="singl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u w:val="singl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u w:val="single"/>
        </w:rPr>
        <w:t xml:space="preserve">(v) Incentives to adopt industry best practices would increase consumer protections.</w:t>
      </w:r>
    </w:p>
    <w:p>
      <w:pPr>
        <w:spacing w:before="0" w:after="0" w:line="408" w:lineRule="exact"/>
        <w:ind w:left="0" w:right="0" w:firstLine="576"/>
        <w:jc w:val="left"/>
      </w:pPr>
      <w:r>
        <w:rPr>
          <w:u w:val="single"/>
        </w:rPr>
        <w:t xml:space="preserve">(b) The work group must dissolve once the report is submitted.</w:t>
      </w:r>
    </w:p>
    <w:p/>
    <w:p>
      <w:pPr>
        <w:jc w:val="center"/>
      </w:pPr>
      <w:r>
        <w:rPr>
          <w:b/>
        </w:rPr>
        <w:t>--- END ---</w:t>
      </w:r>
    </w:p>
    <w:sectPr>
      <w:pgNumType w:start="1"/>
      <w:footerReference xmlns:r="http://schemas.openxmlformats.org/officeDocument/2006/relationships" r:id="R7f84c59997ed4f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e15f2732b4329" /><Relationship Type="http://schemas.openxmlformats.org/officeDocument/2006/relationships/footer" Target="/word/footer1.xml" Id="R7f84c59997ed4fd0" /></Relationships>
</file>