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935e5ccc745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Frockt, Billig, Liias,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financial structure of the model toxics control program; amending RCW 82.21.010, 82.21.030, 70.105D.030, 70.105D.050, 70.75A.060, 70.76.100, 70.95M.080, 70.95M.120, 70.240.050, 70.270.050, 70.285.090, 70.280.050, 70.300.040, 90.71.370, 70.105D.130, and 70.105D.140; adding new sections to chapter 70.105D RCW; creating new sections; repealing RCW 70.105D.170 and 70.105D.070;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during the 2019-2021 biennium no transfers to the state general fund, education legacy trust account, or opportunities pathway account must be made from the state toxics control account, local toxics control account, environmental legacy stewardship account, model toxics control operating account, model toxics control capital account, or model toxics control stormwater account.</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1989 c 2 s 8 are each amended to read as follows:</w:t>
      </w:r>
    </w:p>
    <w:p>
      <w:pPr>
        <w:spacing w:before="0" w:after="0" w:line="408" w:lineRule="exact"/>
        <w:ind w:left="0" w:right="0" w:firstLine="576"/>
        <w:jc w:val="left"/>
      </w:pPr>
      <w:r>
        <w:rPr>
          <w:u w:val="single"/>
        </w:rPr>
        <w:t xml:space="preserve">(1)</w:t>
      </w:r>
      <w:r>
        <w:rPr/>
        <w:t xml:space="preserve">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u w:val="single"/>
        </w:rPr>
        <w:t xml:space="preserve">(2) It is the specific purpose of the model toxics control reform act (this act)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u w:val="single"/>
        </w:rPr>
        <w:t xml:space="preserve">(a) Increases funding for programs and projects related to clean air, clean water, toxic cleanup, and prevention, with specific focus on stormwater pollution;</w:t>
      </w:r>
    </w:p>
    <w:p>
      <w:pPr>
        <w:spacing w:before="0" w:after="0" w:line="408" w:lineRule="exact"/>
        <w:ind w:left="0" w:right="0" w:firstLine="576"/>
        <w:jc w:val="left"/>
      </w:pPr>
      <w:r>
        <w:rPr>
          <w:u w:val="single"/>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u w:val="single"/>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u w:val="single"/>
        </w:rPr>
        <w:t xml:space="preserve">(d) Eliminates the year-to-year volatility of hazardous substance tax revenues by moving to a volumetric rate for petroleum products.</w:t>
      </w:r>
    </w:p>
    <w:p>
      <w:pPr>
        <w:spacing w:before="240" w:after="0" w:line="408" w:lineRule="exact"/>
        <w:ind w:left="0" w:right="0" w:firstLine="0"/>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w:t>
      </w:r>
      <w:r>
        <w:rPr>
          <w:u w:val="single"/>
        </w:rPr>
        <w:t xml:space="preserve">(a)</w:t>
      </w:r>
      <w:r>
        <w:rPr/>
        <w:t xml:space="preserve"> A tax is imposed on the privilege of possession of hazardous substances in this state. </w:t>
      </w:r>
      <w:r>
        <w:rPr>
          <w:u w:val="single"/>
        </w:rPr>
        <w:t xml:space="preserve">Except as provided in (b) of this subsection,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 </w:t>
      </w:r>
      <w:r>
        <w:rPr>
          <w:u w:val="single"/>
        </w:rPr>
        <w:t xml:space="preserve">Moneys collected under this subsection (1)(a) must be deposited in the model toxics control capital account.</w:t>
      </w:r>
    </w:p>
    <w:p>
      <w:pPr>
        <w:spacing w:before="0" w:after="0" w:line="408" w:lineRule="exact"/>
        <w:ind w:left="0" w:right="0" w:firstLine="576"/>
        <w:jc w:val="left"/>
      </w:pPr>
      <w:r>
        <w:rPr>
          <w:u w:val="single"/>
        </w:rPr>
        <w:t xml:space="preserve">(b)</w:t>
      </w:r>
      <w:r>
        <w:rPr>
          <w:u w:val="single"/>
        </w:rPr>
        <w:t xml:space="preserve"> </w:t>
      </w:r>
      <w:r>
        <w:rPr>
          <w:u w:val="single"/>
        </w:rPr>
        <w:t xml:space="preserve">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u w:val="single"/>
        </w:rPr>
        <w:t xml:space="preserve">(i) Sixty percent to the model toxics control operating account created under section 202 of this act;</w:t>
      </w:r>
    </w:p>
    <w:p>
      <w:pPr>
        <w:spacing w:before="0" w:after="0" w:line="408" w:lineRule="exact"/>
        <w:ind w:left="0" w:right="0" w:firstLine="576"/>
        <w:jc w:val="left"/>
      </w:pPr>
      <w:r>
        <w:rPr>
          <w:u w:val="single"/>
        </w:rPr>
        <w:t xml:space="preserve">(ii) Twenty-five percent to the model toxics control capital account created under section 203 of this act; and</w:t>
      </w:r>
    </w:p>
    <w:p>
      <w:pPr>
        <w:spacing w:before="0" w:after="0" w:line="408" w:lineRule="exact"/>
        <w:ind w:left="0" w:right="0" w:firstLine="576"/>
        <w:jc w:val="left"/>
      </w:pPr>
      <w:r>
        <w:rPr>
          <w:u w:val="single"/>
        </w:rPr>
        <w:t xml:space="preserve">(iii) Fifteen percent to the model toxics control stormwater account created under section 204 of this act.</w:t>
      </w:r>
    </w:p>
    <w:p>
      <w:pPr>
        <w:spacing w:before="0" w:after="0" w:line="408" w:lineRule="exact"/>
        <w:ind w:left="0" w:right="0" w:firstLine="576"/>
        <w:jc w:val="left"/>
      </w:pPr>
      <w:r>
        <w:rPr>
          <w:u w:val="single"/>
        </w:rPr>
        <w:t xml:space="preserve">(c) </w:t>
      </w:r>
      <w:r>
        <w:rPr>
          <w:u w:val="single"/>
        </w:rPr>
        <w:t xml:space="preserve">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u w:val="single"/>
        </w:rPr>
        <w:t xml:space="preserve">(d)</w:t>
      </w:r>
      <w:r>
        <w:rPr>
          <w:u w:val="single"/>
        </w:rPr>
        <w:t xml:space="preserve">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w:t>
      </w:r>
      <w:r>
        <w:t>((</w:t>
      </w:r>
      <w:r>
        <w:rPr>
          <w:strike/>
        </w:rPr>
        <w:t xml:space="preserve">Moneys collected under this chapter shall be deposited in the toxics control accounts under RCW 70.105D.070.</w:t>
      </w:r>
    </w:p>
    <w:p>
      <w:pPr>
        <w:spacing w:before="0" w:after="0" w:line="408" w:lineRule="exact"/>
        <w:ind w:left="0" w:right="0" w:firstLine="576"/>
        <w:jc w:val="left"/>
      </w:pPr>
      <w:r>
        <w:rPr>
          <w:strike/>
        </w:rPr>
        <w:t xml:space="preserve">(3)</w:t>
      </w:r>
      <w:r>
        <w:t>))</w:t>
      </w:r>
      <w:r>
        <w:rPr/>
        <w:t xml:space="preserve">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u w:val="single"/>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 </w:t>
      </w:r>
    </w:p>
    <w:p>
      <w:pPr>
        <w:spacing w:before="0" w:after="0" w:line="408" w:lineRule="exact"/>
        <w:ind w:left="0" w:right="0" w:firstLine="576"/>
        <w:jc w:val="left"/>
      </w:pPr>
      <w:r>
        <w:rPr/>
        <w:t xml:space="preserve">(a) The costs of remedial actions recovered under this chapter, except as provided under RCW 70.105D.---(7) (section 2(7), chapter . . . (SHB 1290), Laws of 2019);</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if:</w:t>
      </w:r>
    </w:p>
    <w:p>
      <w:pPr>
        <w:spacing w:before="0" w:after="0" w:line="408" w:lineRule="exact"/>
        <w:ind w:left="0" w:right="0" w:firstLine="576"/>
        <w:jc w:val="left"/>
      </w:pPr>
      <w:r>
        <w:rPr/>
        <w:t xml:space="preserve">(A) The amount and terms of the funding are established under a settlement agreement under RCW 70.105D.040(4);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(A) The facility is located within a redevelopment opportunity zone designated under RCW 70.105D.150;</w:t>
      </w:r>
    </w:p>
    <w:p>
      <w:pPr>
        <w:spacing w:before="0" w:after="0" w:line="408" w:lineRule="exact"/>
        <w:ind w:left="0" w:right="0" w:firstLine="576"/>
        <w:jc w:val="left"/>
      </w:pPr>
      <w:r>
        <w:rPr/>
        <w:t xml:space="preserve">(B) The amount and terms of the funding are established under a settlement agreement under RCW 70.105D.040(5);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sections 202 and 203 of this act,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240" w:after="0" w:line="408" w:lineRule="exact"/>
        <w:ind w:left="0" w:right="0" w:firstLine="0"/>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financial management and the legislative evaluation and accountability program committee must identify changes to existing budgeting and reporting systems, including enterprise, internal, and public-facing systems, that will improve access to and understanding of relevant model toxics control act account-related budget information available at the time governor-recommended and legislative budgets are released. In carrying out this work, the office of financial management and the legislative evaluation and accountability program committee must consult with legislative fiscal staff.</w:t>
      </w:r>
    </w:p>
    <w:p>
      <w:pPr>
        <w:spacing w:before="0" w:after="0" w:line="408" w:lineRule="exact"/>
        <w:ind w:left="0" w:right="0" w:firstLine="576"/>
        <w:jc w:val="left"/>
      </w:pPr>
      <w:r>
        <w:rPr/>
        <w:t xml:space="preserve">(2) The office of financial management and the legislative evaluation and accountability program committee must identify proposed improvements and, as appropriate, necessary funding and legislative changes to the governor and legislature by September 1, 2020. To the extent possible, the office of financial management and the legislative evaluation and accountability program committee may implement low and no-cost changes during the 2019-2021 biennium.</w:t>
      </w:r>
    </w:p>
    <w:p>
      <w:pPr>
        <w:spacing w:before="0" w:after="0" w:line="408" w:lineRule="exact"/>
        <w:ind w:left="0" w:right="0" w:firstLine="576"/>
        <w:jc w:val="left"/>
      </w:pPr>
      <w:r>
        <w:rPr/>
        <w:t xml:space="preserve">(3) This section expires June 30, 2021.</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w:t>
      </w:r>
      <w:r>
        <w:t>((</w:t>
      </w:r>
      <w:r>
        <w:rPr>
          <w:strike/>
        </w:rPr>
        <w:t xml:space="preserve">shall</w:t>
      </w:r>
      <w:r>
        <w:t>))</w:t>
      </w:r>
      <w:r>
        <w:rPr/>
        <w:t xml:space="preserve"> </w:t>
      </w:r>
      <w:r>
        <w:rPr>
          <w:u w:val="single"/>
        </w:rPr>
        <w:t xml:space="preserve">must</w:t>
      </w:r>
      <w:r>
        <w:rPr/>
        <w:t xml:space="preserve"> give reasonable notice before entering property unless an emergency prevents such notice. In conducting, providing for, or requiring remedial action, the department </w:t>
      </w:r>
      <w:r>
        <w:t>((</w:t>
      </w:r>
      <w:r>
        <w:rPr>
          <w:strike/>
        </w:rPr>
        <w:t xml:space="preserve">shall</w:t>
      </w:r>
      <w:r>
        <w:t>))</w:t>
      </w:r>
      <w:r>
        <w:rPr/>
        <w:t xml:space="preserve"> </w:t>
      </w:r>
      <w:r>
        <w:rPr>
          <w:u w:val="single"/>
        </w:rPr>
        <w:t xml:space="preserve">must</w:t>
      </w:r>
      <w:r>
        <w:rPr/>
        <w:t xml:space="preserve"> give preference to permanent solutions to the maximum extent practicable and </w:t>
      </w:r>
      <w:r>
        <w:t>((</w:t>
      </w:r>
      <w:r>
        <w:rPr>
          <w:strike/>
        </w:rPr>
        <w:t xml:space="preserve">shall</w:t>
      </w:r>
      <w:r>
        <w:t>))</w:t>
      </w:r>
      <w:r>
        <w:rPr/>
        <w:t xml:space="preserve"> </w:t>
      </w:r>
      <w:r>
        <w:rPr>
          <w:u w:val="single"/>
        </w:rPr>
        <w:t xml:space="preserve">must</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w:t>
      </w:r>
      <w:r>
        <w:t>((</w:t>
      </w:r>
      <w:r>
        <w:rPr>
          <w:strike/>
        </w:rPr>
        <w:t xml:space="preserve">shall</w:t>
      </w:r>
      <w:r>
        <w:t>))</w:t>
      </w:r>
      <w:r>
        <w:rPr/>
        <w:t xml:space="preserve"> </w:t>
      </w:r>
      <w:r>
        <w:rPr>
          <w:u w:val="single"/>
        </w:rPr>
        <w:t xml:space="preserve">must</w:t>
      </w:r>
      <w:r>
        <w:rPr/>
        <w:t xml:space="preserve">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w:t>
      </w:r>
      <w:r>
        <w:t>((</w:t>
      </w:r>
      <w:r>
        <w:rPr>
          <w:strike/>
        </w:rPr>
        <w:t xml:space="preserve">shall be</w:t>
      </w:r>
      <w:r>
        <w:t>))</w:t>
      </w:r>
      <w:r>
        <w:rPr/>
        <w:t xml:space="preserve"> </w:t>
      </w:r>
      <w:r>
        <w:rPr>
          <w:u w:val="single"/>
        </w:rPr>
        <w:t xml:space="preserve">is</w:t>
      </w:r>
      <w:r>
        <w:rPr/>
        <w:t xml:space="preserve"> advisory only,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w:t>
      </w:r>
      <w:r>
        <w:t>((</w:t>
      </w:r>
      <w:r>
        <w:rPr>
          <w:strike/>
        </w:rPr>
        <w:t xml:space="preserve">shall</w:t>
      </w:r>
      <w:r>
        <w:t>))</w:t>
      </w:r>
      <w:r>
        <w:rPr/>
        <w:t xml:space="preserve"> </w:t>
      </w:r>
      <w:r>
        <w:rPr>
          <w:u w:val="single"/>
        </w:rPr>
        <w:t xml:space="preserve">must</w:t>
      </w:r>
      <w:r>
        <w:rPr/>
        <w:t xml:space="preserve">,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w:t>
      </w:r>
      <w:r>
        <w:t>((</w:t>
      </w:r>
      <w:r>
        <w:rPr>
          <w:strike/>
        </w:rPr>
        <w:t xml:space="preserve">shall</w:t>
      </w:r>
      <w:r>
        <w:t>))</w:t>
      </w:r>
      <w:r>
        <w:rPr/>
        <w:t xml:space="preserve"> </w:t>
      </w:r>
      <w:r>
        <w:rPr>
          <w:u w:val="single"/>
        </w:rPr>
        <w:t xml:space="preserve">must</w:t>
      </w:r>
      <w:r>
        <w:rPr/>
        <w:t xml:space="preserve">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w:t>
      </w:r>
      <w:r>
        <w:t>((</w:t>
      </w:r>
      <w:r>
        <w:rPr>
          <w:strike/>
        </w:rPr>
        <w:t xml:space="preserve">shall</w:t>
      </w:r>
      <w:r>
        <w:t>))</w:t>
      </w:r>
      <w:r>
        <w:rPr/>
        <w:t xml:space="preserve"> </w:t>
      </w:r>
      <w:r>
        <w:rPr>
          <w:u w:val="single"/>
        </w:rPr>
        <w:t xml:space="preserve">must</w:t>
      </w:r>
      <w:r>
        <w:rPr/>
        <w:t xml:space="preserve">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immediately implement all provisions of this chapter to the maximum extent practicable, including investigative and remedial actions where appropriate. The department </w:t>
      </w:r>
      <w:r>
        <w:t>((</w:t>
      </w:r>
      <w:r>
        <w:rPr>
          <w:strike/>
        </w:rPr>
        <w:t xml:space="preserve">shall</w:t>
      </w:r>
      <w:r>
        <w:t>))</w:t>
      </w:r>
      <w:r>
        <w:rPr/>
        <w:t xml:space="preserve"> </w:t>
      </w:r>
      <w:r>
        <w:rPr>
          <w:u w:val="single"/>
        </w:rPr>
        <w:t xml:space="preserve">must</w:t>
      </w:r>
      <w:r>
        <w:rPr/>
        <w:t xml:space="preserve">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w:t>
      </w:r>
      <w:r>
        <w:t>((</w:t>
      </w:r>
      <w:r>
        <w:rPr>
          <w:strike/>
        </w:rPr>
        <w:t xml:space="preserve">shall</w:t>
      </w:r>
      <w:r>
        <w:t>))</w:t>
      </w:r>
      <w:r>
        <w:rPr/>
        <w:t xml:space="preserve"> </w:t>
      </w:r>
      <w:r>
        <w:rPr>
          <w:u w:val="single"/>
        </w:rPr>
        <w:t xml:space="preserve">may</w:t>
      </w:r>
      <w:r>
        <w:rPr/>
        <w:t xml:space="preserve">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w:t>
      </w:r>
      <w:r>
        <w:t>((</w:t>
      </w:r>
      <w:r>
        <w:rPr>
          <w:strike/>
        </w:rPr>
        <w:t xml:space="preserve">shall</w:t>
      </w:r>
      <w:r>
        <w:t>))</w:t>
      </w:r>
      <w:r>
        <w:rPr/>
        <w:t xml:space="preserve"> </w:t>
      </w:r>
      <w:r>
        <w:rPr>
          <w:u w:val="single"/>
        </w:rPr>
        <w:t xml:space="preserve">must</w:t>
      </w:r>
      <w:r>
        <w:rPr/>
        <w:t xml:space="preserve">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w:t>
      </w:r>
      <w:r>
        <w:t>((</w:t>
      </w:r>
      <w:r>
        <w:rPr>
          <w:strike/>
        </w:rPr>
        <w:t xml:space="preserve">shall</w:t>
      </w:r>
      <w:r>
        <w:t>))</w:t>
      </w:r>
      <w:r>
        <w:rPr/>
        <w:t xml:space="preserve"> </w:t>
      </w:r>
      <w:r>
        <w:rPr>
          <w:u w:val="single"/>
        </w:rPr>
        <w:t xml:space="preserve">must</w:t>
      </w:r>
      <w:r>
        <w:rPr/>
        <w:t xml:space="preserve"> plan to clean up hazardous waste sites and prevent the creation of future hazards due to improper disposal of toxic wastes at a pace that matches the estimated cash resources in the </w:t>
      </w:r>
      <w:r>
        <w:t>((</w:t>
      </w:r>
      <w:r>
        <w:rPr>
          <w:strike/>
        </w:rPr>
        <w:t xml:space="preserve">state and local toxics control accounts and the environmental legacy stewardship account created in RCW 70.105D.170</w:t>
      </w:r>
      <w:r>
        <w:t>))</w:t>
      </w:r>
      <w:r>
        <w:rPr/>
        <w:t xml:space="preserve"> </w:t>
      </w:r>
      <w:r>
        <w:rPr>
          <w:u w:val="single"/>
        </w:rPr>
        <w:t xml:space="preserve">model toxics control capital account</w:t>
      </w:r>
      <w:r>
        <w:rPr/>
        <w:t xml:space="preserve">.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w:t>
      </w:r>
      <w:r>
        <w:t>((</w:t>
      </w:r>
      <w:r>
        <w:rPr>
          <w:strike/>
        </w:rPr>
        <w:t xml:space="preserve">state and local toxics control account and the environmental legacy stewardship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w:t>
      </w:r>
      <w:r>
        <w:t>((</w:t>
      </w:r>
      <w:r>
        <w:rPr>
          <w:strike/>
        </w:rPr>
        <w:t xml:space="preserve">state toxics control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t>((</w:t>
      </w:r>
      <w:r>
        <w:rPr>
          <w:strike/>
        </w:rPr>
        <w:t xml:space="preserve">both the local and state toxics control account and the environmental legacy stewardship account</w:t>
      </w:r>
      <w:r>
        <w:t>))</w:t>
      </w:r>
      <w:r>
        <w:rPr/>
        <w:t xml:space="preserve"> </w:t>
      </w:r>
      <w:r>
        <w:rPr>
          <w:u w:val="single"/>
        </w:rPr>
        <w:t xml:space="preserve">model toxics control capital account</w:t>
      </w:r>
      <w:r>
        <w:rPr/>
        <w:t xml:space="preserve">, and submit this information to the appropriate standing fiscal and environmental committees of the senate and house of representatives. This submittal must also include a ranked list of such remedial action projects for </w:t>
      </w:r>
      <w:r>
        <w:t>((</w:t>
      </w:r>
      <w:r>
        <w:rPr>
          <w:strike/>
        </w:rPr>
        <w:t xml:space="preserve">both</w:t>
      </w:r>
      <w:r>
        <w:t>))</w:t>
      </w:r>
      <w:r>
        <w:rPr/>
        <w:t xml:space="preserve"> </w:t>
      </w:r>
      <w:r>
        <w:rPr>
          <w:u w:val="single"/>
        </w:rPr>
        <w:t xml:space="preserve">the model toxics control capital</w:t>
      </w:r>
      <w:r>
        <w:rPr/>
        <w:t xml:space="preserve"> account</w:t>
      </w:r>
      <w:r>
        <w:t>((</w:t>
      </w:r>
      <w:r>
        <w:rPr>
          <w:strike/>
        </w:rPr>
        <w:t xml:space="preserve">s</w:t>
      </w:r>
      <w:r>
        <w:t>))</w:t>
      </w:r>
      <w:r>
        <w:rPr/>
        <w:t xml:space="preserve">. The submittal must also identify separate budget estimates for large, multibiennia clean-up projects that exceed ten million dollars. The department </w:t>
      </w:r>
      <w:r>
        <w:t>((</w:t>
      </w:r>
      <w:r>
        <w:rPr>
          <w:strike/>
        </w:rPr>
        <w:t xml:space="preserve">shall</w:t>
      </w:r>
      <w:r>
        <w:t>))</w:t>
      </w:r>
      <w:r>
        <w:rPr/>
        <w:t xml:space="preserve"> </w:t>
      </w:r>
      <w:r>
        <w:rPr>
          <w:u w:val="single"/>
        </w:rPr>
        <w:t xml:space="preserve">must</w:t>
      </w:r>
      <w:r>
        <w:rPr/>
        <w:t xml:space="preserve">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w:t>
      </w:r>
      <w:r>
        <w:t>((</w:t>
      </w:r>
      <w:r>
        <w:rPr>
          <w:strike/>
        </w:rPr>
        <w:t xml:space="preserve">state and local toxics control accounts and the environmental legacy stewardship</w:t>
      </w:r>
      <w:r>
        <w:t>))</w:t>
      </w:r>
      <w:r>
        <w:rPr/>
        <w:t xml:space="preserve"> </w:t>
      </w:r>
      <w:r>
        <w:rPr>
          <w:u w:val="single"/>
        </w:rPr>
        <w:t xml:space="preserve">model toxics control operating, capital, and stormwater</w:t>
      </w:r>
      <w:r>
        <w:rPr/>
        <w:t xml:space="preserve"> account</w:t>
      </w:r>
      <w:r>
        <w:rPr>
          <w:u w:val="single"/>
        </w:rPr>
        <w:t xml:space="preserve">s</w:t>
      </w:r>
      <w:r>
        <w:rPr/>
        <w:t xml:space="preserve">.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w:t>
      </w:r>
      <w:r>
        <w:t>((</w:t>
      </w:r>
      <w:r>
        <w:rPr>
          <w:strike/>
        </w:rPr>
        <w:t xml:space="preserve">state and local toxics control accounts and the environmental legacy stewardship account</w:t>
      </w:r>
      <w:r>
        <w:t>))</w:t>
      </w:r>
      <w:r>
        <w:rPr/>
        <w:t xml:space="preserve"> </w:t>
      </w:r>
      <w:r>
        <w:rPr>
          <w:u w:val="single"/>
        </w:rPr>
        <w:t xml:space="preserve">model toxics control capital account</w:t>
      </w:r>
      <w:r>
        <w:rPr/>
        <w:t xml:space="preserve">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w:t>
      </w:r>
      <w:r>
        <w:t>((</w:t>
      </w:r>
      <w:r>
        <w:rPr>
          <w:strike/>
        </w:rPr>
        <w:t xml:space="preserve">shall</w:t>
      </w:r>
      <w:r>
        <w:t>))</w:t>
      </w:r>
      <w:r>
        <w:rPr/>
        <w:t xml:space="preserve"> </w:t>
      </w:r>
      <w:r>
        <w:rPr>
          <w:u w:val="single"/>
        </w:rPr>
        <w:t xml:space="preserve">must</w:t>
      </w:r>
      <w:r>
        <w:rPr/>
        <w:t xml:space="preserve">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w:t>
      </w:r>
      <w:r>
        <w:t>((</w:t>
      </w:r>
      <w:r>
        <w:rPr>
          <w:strike/>
        </w:rPr>
        <w:t xml:space="preserve">shall</w:t>
      </w:r>
      <w:r>
        <w:t>))</w:t>
      </w:r>
      <w:r>
        <w:rPr/>
        <w:t xml:space="preserve"> </w:t>
      </w:r>
      <w:r>
        <w:rPr>
          <w:u w:val="single"/>
        </w:rPr>
        <w:t xml:space="preserve">must</w:t>
      </w:r>
      <w:r>
        <w:rPr/>
        <w:t xml:space="preserve">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conduct a review at least once every five years after an environmental covenant is recorded.</w:t>
      </w:r>
    </w:p>
    <w:p>
      <w:pPr>
        <w:spacing w:before="0" w:after="0" w:line="408" w:lineRule="exact"/>
        <w:ind w:left="0" w:right="0" w:firstLine="576"/>
        <w:jc w:val="left"/>
      </w:pPr>
      <w:r>
        <w:rPr/>
        <w:t xml:space="preserve">(a) The review </w:t>
      </w:r>
      <w:r>
        <w:t>((</w:t>
      </w:r>
      <w:r>
        <w:rPr>
          <w:strike/>
        </w:rPr>
        <w:t xml:space="preserve">shall</w:t>
      </w:r>
      <w:r>
        <w:t>))</w:t>
      </w:r>
      <w:r>
        <w:rPr/>
        <w:t xml:space="preserve"> </w:t>
      </w:r>
      <w:r>
        <w:rPr>
          <w:u w:val="single"/>
        </w:rPr>
        <w:t xml:space="preserve">must</w:t>
      </w:r>
      <w:r>
        <w:rPr/>
        <w:t xml:space="preserve">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w:t>
      </w:r>
      <w:r>
        <w:t>((</w:t>
      </w:r>
      <w:r>
        <w:rPr>
          <w:strike/>
        </w:rPr>
        <w:t xml:space="preserve">shall</w:t>
      </w:r>
      <w:r>
        <w:t>))</w:t>
      </w:r>
      <w:r>
        <w:rPr/>
        <w:t xml:space="preserve"> </w:t>
      </w:r>
      <w:r>
        <w:rPr>
          <w:u w:val="single"/>
        </w:rPr>
        <w:t xml:space="preserve">must</w:t>
      </w:r>
      <w:r>
        <w:rPr/>
        <w:t xml:space="preserve">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w:t>
      </w:r>
      <w:r>
        <w:t>((</w:t>
      </w:r>
      <w:r>
        <w:rPr>
          <w:strike/>
        </w:rPr>
        <w:t xml:space="preserve">shall</w:t>
      </w:r>
      <w:r>
        <w:t>))</w:t>
      </w:r>
      <w:r>
        <w:rPr/>
        <w:t xml:space="preserve"> </w:t>
      </w:r>
      <w:r>
        <w:rPr>
          <w:u w:val="single"/>
        </w:rPr>
        <w:t xml:space="preserve">must</w:t>
      </w:r>
      <w:r>
        <w:rPr/>
        <w:t xml:space="preserve">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w:t>
      </w:r>
      <w:r>
        <w:t>((</w:t>
      </w:r>
      <w:r>
        <w:rPr>
          <w:strike/>
        </w:rPr>
        <w:t xml:space="preserve">shall</w:t>
      </w:r>
      <w:r>
        <w:t>))</w:t>
      </w:r>
      <w:r>
        <w:rPr/>
        <w:t xml:space="preserve"> </w:t>
      </w:r>
      <w:r>
        <w:rPr>
          <w:u w:val="single"/>
        </w:rPr>
        <w:t xml:space="preserve">must</w:t>
      </w:r>
      <w:r>
        <w:rPr/>
        <w:t xml:space="preserve">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w:t>
      </w:r>
      <w:r>
        <w:t>((</w:t>
      </w:r>
      <w:r>
        <w:rPr>
          <w:strike/>
        </w:rPr>
        <w:t xml:space="preserve">shall</w:t>
      </w:r>
      <w:r>
        <w:t>))</w:t>
      </w:r>
      <w:r>
        <w:rPr/>
        <w:t xml:space="preserve"> </w:t>
      </w:r>
      <w:r>
        <w:rPr>
          <w:u w:val="single"/>
        </w:rPr>
        <w:t xml:space="preserve">must</w:t>
      </w:r>
      <w:r>
        <w:rPr/>
        <w:t xml:space="preserve">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they can prove by a preponderance of the evidence that the person is not a liable party under RCW 70.105D.040.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w:t>
      </w:r>
      <w:r>
        <w:t>((</w:t>
      </w:r>
      <w:r>
        <w:rPr>
          <w:strike/>
        </w:rPr>
        <w:t xml:space="preserve">state and local toxics control</w:t>
      </w:r>
      <w:r>
        <w:t>))</w:t>
      </w:r>
      <w:r>
        <w:rPr/>
        <w:t xml:space="preserve"> </w:t>
      </w:r>
      <w:r>
        <w:rPr>
          <w:u w:val="single"/>
        </w:rPr>
        <w:t xml:space="preserve">model toxics control operating, capital, and stormwater</w:t>
      </w:r>
      <w:r>
        <w:rPr/>
        <w:t xml:space="preserve"> accounts created in </w:t>
      </w:r>
      <w:r>
        <w:t>((</w:t>
      </w:r>
      <w:r>
        <w:rPr>
          <w:strike/>
        </w:rPr>
        <w:t xml:space="preserve">RCW 70.105D.170 [70.105D.070] and the environmental legacy stewardship account created in RCW 70.105D.170</w:t>
      </w:r>
      <w:r>
        <w:t>))</w:t>
      </w:r>
      <w:r>
        <w:rPr/>
        <w:t xml:space="preserve"> </w:t>
      </w:r>
      <w:r>
        <w:rPr>
          <w:u w:val="single"/>
        </w:rPr>
        <w:t xml:space="preserve">sections 202 through 204 of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or 70.75A.030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w:t>
      </w:r>
      <w:r>
        <w:rPr>
          <w:strike/>
        </w:rPr>
        <w:t xml:space="preserve">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2007 c 65 s 11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w:t>
      </w:r>
      <w:r>
        <w:t>((</w:t>
      </w:r>
      <w:r>
        <w:rPr>
          <w:strike/>
        </w:rPr>
        <w:t xml:space="preserve">shall</w:t>
      </w:r>
      <w:r>
        <w:t>))</w:t>
      </w:r>
      <w:r>
        <w:rPr/>
        <w:t xml:space="preserve"> </w:t>
      </w:r>
      <w:r>
        <w:rPr>
          <w:u w:val="single"/>
        </w:rPr>
        <w:t xml:space="preserve">must</w:t>
      </w:r>
      <w:r>
        <w:rPr/>
        <w:t xml:space="preserve">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the department </w:t>
      </w:r>
      <w:r>
        <w:t>((</w:t>
      </w:r>
      <w:r>
        <w:rPr>
          <w:strike/>
        </w:rPr>
        <w:t xml:space="preserve">shall</w:t>
      </w:r>
      <w:r>
        <w:t>))</w:t>
      </w:r>
      <w:r>
        <w:rPr/>
        <w:t xml:space="preserve"> </w:t>
      </w:r>
      <w:r>
        <w:rPr>
          <w:u w:val="single"/>
        </w:rPr>
        <w:t xml:space="preserve">must</w:t>
      </w:r>
      <w:r>
        <w:rPr/>
        <w:t xml:space="preserve">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w:t>
      </w:r>
      <w:r>
        <w:t>((</w:t>
      </w:r>
      <w:r>
        <w:rPr>
          <w:strike/>
        </w:rPr>
        <w:t xml:space="preserve">shall</w:t>
      </w:r>
      <w:r>
        <w:t>))</w:t>
      </w:r>
      <w:r>
        <w:rPr/>
        <w:t xml:space="preserve"> </w:t>
      </w:r>
      <w:r>
        <w:rPr>
          <w:u w:val="single"/>
        </w:rPr>
        <w:t xml:space="preserve">must</w:t>
      </w:r>
      <w:r>
        <w:rPr/>
        <w:t xml:space="preserve">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120</w:t>
      </w:r>
      <w:r>
        <w:rPr/>
        <w:t xml:space="preserve"> and 2003 c 260 s 11 are each amended to read as follows:</w:t>
      </w:r>
    </w:p>
    <w:p>
      <w:pPr>
        <w:spacing w:before="0" w:after="0" w:line="408" w:lineRule="exact"/>
        <w:ind w:left="0" w:right="0" w:firstLine="576"/>
        <w:jc w:val="left"/>
      </w:pPr>
      <w:r>
        <w:rPr/>
        <w:t xml:space="preserve">Any fiscal impact on the department or the department of health that results from the implementation of this chapter must be paid for out of funds that are appropriated by the legislature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for the implementation of the department's persistent bioaccumulative toxic chemical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2016 c 176 s 4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2009 c 243 s 5 are each amended to read as follows:</w:t>
      </w:r>
    </w:p>
    <w:p>
      <w:pPr>
        <w:spacing w:before="0" w:after="0" w:line="408" w:lineRule="exact"/>
        <w:ind w:left="0" w:right="0" w:firstLine="576"/>
        <w:jc w:val="left"/>
      </w:pPr>
      <w:r>
        <w:rPr/>
        <w:t xml:space="preserve">(1) An initial violation of RCW 70.270.030(1) is punishable by a civil penalty not to exceed five hundred dollars. Subsequent violations of RCW 70.270.030(1)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2010 c 147 s 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w:t>
      </w:r>
      <w:r>
        <w:t>((</w:t>
      </w:r>
      <w:r>
        <w:rPr>
          <w:strike/>
        </w:rPr>
        <w:t xml:space="preserve">shall</w:t>
      </w:r>
      <w:r>
        <w:t>))</w:t>
      </w:r>
      <w:r>
        <w:rPr/>
        <w:t xml:space="preserve"> </w:t>
      </w:r>
      <w:r>
        <w:rPr>
          <w:u w:val="single"/>
        </w:rPr>
        <w:t xml:space="preserve">must</w:t>
      </w:r>
      <w:r>
        <w:rPr/>
        <w:t xml:space="preserve">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are not in violation of this chapter. However, if the department conclusively proves that the brake friction material distributor or retailer was aware that the brake friction material being sold violates RCW 70.285.030 or 70.285.050,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w:t>
      </w:r>
      <w:r>
        <w:t>((</w:t>
      </w:r>
      <w:r>
        <w:rPr>
          <w:strike/>
        </w:rPr>
        <w:t xml:space="preserve">shall</w:t>
      </w:r>
      <w:r>
        <w:t>))</w:t>
      </w:r>
      <w:r>
        <w:rPr/>
        <w:t xml:space="preserve"> </w:t>
      </w:r>
      <w:r>
        <w:rPr>
          <w:u w:val="single"/>
        </w:rPr>
        <w:t xml:space="preserve">must</w:t>
      </w:r>
      <w:r>
        <w:rPr/>
        <w:t xml:space="preserve">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on the vehicle being sold and was aware that the brake friction material violates RCW 70.285.030, 70.285.050, or 70.285.080(2)(b),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the department </w:t>
      </w:r>
      <w:r>
        <w:t>((</w:t>
      </w:r>
      <w:r>
        <w:rPr>
          <w:strike/>
        </w:rPr>
        <w:t xml:space="preserve">shall</w:t>
      </w:r>
      <w:r>
        <w:t>))</w:t>
      </w:r>
      <w:r>
        <w:rPr/>
        <w:t xml:space="preserve"> </w:t>
      </w:r>
      <w:r>
        <w:rPr>
          <w:u w:val="single"/>
        </w:rPr>
        <w:t xml:space="preserve">must</w:t>
      </w:r>
      <w:r>
        <w:rPr/>
        <w:t xml:space="preserve">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2010 c 140 s 5 are each amended to read as follows:</w:t>
      </w:r>
    </w:p>
    <w:p>
      <w:pPr>
        <w:spacing w:before="0" w:after="0" w:line="408" w:lineRule="exact"/>
        <w:ind w:left="0" w:right="0" w:firstLine="576"/>
        <w:jc w:val="left"/>
      </w:pPr>
      <w:r>
        <w:rPr/>
        <w:t xml:space="preserve">Expenses to cover the cost of administering this chapter </w:t>
      </w:r>
      <w:r>
        <w:t>((</w:t>
      </w:r>
      <w:r>
        <w:rPr>
          <w:strike/>
        </w:rPr>
        <w:t xml:space="preserve">shall</w:t>
      </w:r>
      <w:r>
        <w:t>))</w:t>
      </w:r>
      <w:r>
        <w:rPr/>
        <w:t xml:space="preserve"> </w:t>
      </w:r>
      <w:r>
        <w:rPr>
          <w:u w:val="single"/>
        </w:rPr>
        <w:t xml:space="preserve">must</w:t>
      </w:r>
      <w:r>
        <w:rPr/>
        <w:t xml:space="preserve"> be paid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under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2011 c 248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w:t>
      </w:r>
      <w:r>
        <w:t>((</w:t>
      </w:r>
      <w:r>
        <w:rPr>
          <w:strike/>
        </w:rPr>
        <w:t xml:space="preserve">shall</w:t>
      </w:r>
      <w:r>
        <w:t>))</w:t>
      </w:r>
      <w:r>
        <w:rPr/>
        <w:t xml:space="preserve"> </w:t>
      </w:r>
      <w:r>
        <w:rPr>
          <w:u w:val="single"/>
        </w:rPr>
        <w:t xml:space="preserve">must</w:t>
      </w:r>
      <w:r>
        <w:rPr/>
        <w:t xml:space="preserve"> provide to the governor and the appropriate fiscal committees of the senate and house of representatives its recommendations for the funding necessary to implement the action agenda in the succeeding biennium. The recommendations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w:t>
      </w:r>
      <w:r>
        <w:t>((</w:t>
      </w:r>
      <w:r>
        <w:rPr>
          <w:strike/>
        </w:rPr>
        <w:t xml:space="preserve">shall</w:t>
      </w:r>
      <w:r>
        <w:t>))</w:t>
      </w:r>
      <w:r>
        <w:rPr/>
        <w:t xml:space="preserve"> </w:t>
      </w:r>
      <w:r>
        <w:rPr>
          <w:u w:val="single"/>
        </w:rPr>
        <w:t xml:space="preserve">must</w:t>
      </w:r>
      <w:r>
        <w:rPr/>
        <w:t xml:space="preserve">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w:t>
      </w:r>
      <w:r>
        <w:t>((</w:t>
      </w:r>
      <w:r>
        <w:rPr>
          <w:strike/>
        </w:rPr>
        <w:t xml:space="preserve">shall</w:t>
      </w:r>
      <w:r>
        <w:t>))</w:t>
      </w:r>
      <w:r>
        <w:rPr/>
        <w:t xml:space="preserve"> </w:t>
      </w:r>
      <w:r>
        <w:rPr>
          <w:u w:val="single"/>
        </w:rPr>
        <w:t xml:space="preserve">must</w:t>
      </w:r>
      <w:r>
        <w:rPr/>
        <w:t xml:space="preserve"> consult with the panel.</w:t>
      </w:r>
    </w:p>
    <w:p>
      <w:pPr>
        <w:spacing w:before="0" w:after="0" w:line="408" w:lineRule="exact"/>
        <w:ind w:left="0" w:right="0" w:firstLine="576"/>
        <w:jc w:val="left"/>
      </w:pPr>
      <w:r>
        <w:rPr/>
        <w:t xml:space="preserve">(3) By November 1st of each odd-numbered year beginning in 2009, the council </w:t>
      </w:r>
      <w:r>
        <w:t>((</w:t>
      </w:r>
      <w:r>
        <w:rPr>
          <w:strike/>
        </w:rPr>
        <w:t xml:space="preserve">shall</w:t>
      </w:r>
      <w:r>
        <w:t>))</w:t>
      </w:r>
      <w:r>
        <w:rPr/>
        <w:t xml:space="preserve"> </w:t>
      </w:r>
      <w:r>
        <w:rPr>
          <w:u w:val="single"/>
        </w:rPr>
        <w:t xml:space="preserve">must</w:t>
      </w:r>
      <w:r>
        <w:rPr/>
        <w:t xml:space="preserve">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w:t>
      </w:r>
      <w:r>
        <w:t>((</w:t>
      </w:r>
      <w:r>
        <w:rPr>
          <w:strike/>
        </w:rPr>
        <w:t xml:space="preserve">shall</w:t>
      </w:r>
      <w:r>
        <w:t>))</w:t>
      </w:r>
      <w:r>
        <w:rPr/>
        <w:t xml:space="preserve"> </w:t>
      </w:r>
      <w:r>
        <w:rPr>
          <w:u w:val="single"/>
        </w:rPr>
        <w:t xml:space="preserve">must</w:t>
      </w:r>
      <w:r>
        <w:rPr/>
        <w:t xml:space="preserve"> review state programs that fund facilities and activities that may contribute to action agenda implementation. By November 1, 2009, the council </w:t>
      </w:r>
      <w:r>
        <w:t>((</w:t>
      </w:r>
      <w:r>
        <w:rPr>
          <w:strike/>
        </w:rPr>
        <w:t xml:space="preserve">shall</w:t>
      </w:r>
      <w:r>
        <w:t>))</w:t>
      </w:r>
      <w:r>
        <w:rPr/>
        <w:t xml:space="preserve"> </w:t>
      </w:r>
      <w:r>
        <w:rPr>
          <w:u w:val="single"/>
        </w:rPr>
        <w:t xml:space="preserve">must</w:t>
      </w:r>
      <w:r>
        <w:rPr/>
        <w:t xml:space="preserve"> provide initial recommendations regarding program changes to the governor and appropriate fiscal and policy committees of the senate and house of representatives. By November 1, 2010, the council </w:t>
      </w:r>
      <w:r>
        <w:t>((</w:t>
      </w:r>
      <w:r>
        <w:rPr>
          <w:strike/>
        </w:rPr>
        <w:t xml:space="preserve">shall</w:t>
      </w:r>
      <w:r>
        <w:t>))</w:t>
      </w:r>
      <w:r>
        <w:rPr/>
        <w:t xml:space="preserve"> </w:t>
      </w:r>
      <w:r>
        <w:rPr>
          <w:u w:val="single"/>
        </w:rPr>
        <w:t xml:space="preserve">must</w:t>
      </w:r>
      <w:r>
        <w:rPr/>
        <w:t xml:space="preserve">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w:t>
      </w:r>
      <w:r>
        <w:t>((</w:t>
      </w:r>
      <w:r>
        <w:rPr>
          <w:strike/>
        </w:rPr>
        <w:t xml:space="preserve">shall</w:t>
      </w:r>
      <w:r>
        <w:t>))</w:t>
      </w:r>
      <w:r>
        <w:rPr/>
        <w:t xml:space="preserve"> </w:t>
      </w:r>
      <w:r>
        <w:rPr>
          <w:u w:val="single"/>
        </w:rPr>
        <w:t xml:space="preserve">must</w:t>
      </w:r>
      <w:r>
        <w:rPr/>
        <w:t xml:space="preserve">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w:t>
      </w:r>
      <w:r>
        <w:t>((</w:t>
      </w:r>
      <w:r>
        <w:rPr>
          <w:strike/>
        </w:rPr>
        <w:t xml:space="preserve">state toxics control account and local toxics control account</w:t>
      </w:r>
      <w:r>
        <w:t>))</w:t>
      </w:r>
      <w:r>
        <w:rPr/>
        <w:t xml:space="preserve"> </w:t>
      </w:r>
      <w:r>
        <w:rPr>
          <w:u w:val="single"/>
        </w:rPr>
        <w:t xml:space="preserve">model toxics control operating, capital, and stormwater accounts</w:t>
      </w:r>
      <w:r>
        <w:rPr/>
        <w:t xml:space="preserve">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w:t>
      </w:r>
      <w:r>
        <w:t>((</w:t>
      </w:r>
      <w:r>
        <w:rPr>
          <w:strike/>
        </w:rPr>
        <w:t xml:space="preserve">shall</w:t>
      </w:r>
      <w:r>
        <w:t>))</w:t>
      </w:r>
      <w:r>
        <w:rPr/>
        <w:t xml:space="preserve"> </w:t>
      </w:r>
      <w:r>
        <w:rPr>
          <w:u w:val="single"/>
        </w:rPr>
        <w:t xml:space="preserve">must</w:t>
      </w:r>
      <w:r>
        <w:rPr/>
        <w:t xml:space="preserve">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w:t>
      </w:r>
      <w:r>
        <w:t>((</w:t>
      </w:r>
      <w:r>
        <w:rPr>
          <w:strike/>
        </w:rPr>
        <w:t xml:space="preserve">shall</w:t>
      </w:r>
      <w:r>
        <w:t>))</w:t>
      </w:r>
      <w:r>
        <w:rPr/>
        <w:t xml:space="preserve"> </w:t>
      </w:r>
      <w:r>
        <w:rPr>
          <w:u w:val="single"/>
        </w:rPr>
        <w:t xml:space="preserve">must</w:t>
      </w:r>
      <w:r>
        <w:rPr/>
        <w:t xml:space="preserve"> include recommendations for reallocation of total requested funds for Puget Sound basin projects to achieve the greatest positive outcomes for protection and recovery of Puget Sound and </w:t>
      </w:r>
      <w:r>
        <w:t>((</w:t>
      </w:r>
      <w:r>
        <w:rPr>
          <w:strike/>
        </w:rPr>
        <w:t xml:space="preserve">shall</w:t>
      </w:r>
      <w:r>
        <w:t>))</w:t>
      </w:r>
      <w:r>
        <w:rPr/>
        <w:t xml:space="preserve"> </w:t>
      </w:r>
      <w:r>
        <w:rPr>
          <w:u w:val="single"/>
        </w:rPr>
        <w:t xml:space="preserve">must</w:t>
      </w:r>
      <w:r>
        <w:rPr/>
        <w:t xml:space="preserve">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w:t>
      </w:r>
      <w:r>
        <w:t>((</w:t>
      </w:r>
      <w:r>
        <w:rPr>
          <w:strike/>
        </w:rPr>
        <w:t xml:space="preserve">shall</w:t>
      </w:r>
      <w:r>
        <w:t>))</w:t>
      </w:r>
      <w:r>
        <w:rPr/>
        <w:t xml:space="preserve"> </w:t>
      </w:r>
      <w:r>
        <w:rPr>
          <w:u w:val="single"/>
        </w:rPr>
        <w:t xml:space="preserve">must</w:t>
      </w:r>
      <w:r>
        <w:rPr/>
        <w:t xml:space="preserve">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w:t>
      </w:r>
      <w:r>
        <w:t>((</w:t>
      </w:r>
      <w:r>
        <w:rPr>
          <w:strike/>
        </w:rPr>
        <w:t xml:space="preserve">shall</w:t>
      </w:r>
      <w:r>
        <w:t>))</w:t>
      </w:r>
      <w:r>
        <w:rPr/>
        <w:t xml:space="preserve"> </w:t>
      </w:r>
      <w:r>
        <w:rPr>
          <w:u w:val="single"/>
        </w:rPr>
        <w:t xml:space="preserve">may</w:t>
      </w:r>
      <w:r>
        <w:rPr/>
        <w:t xml:space="preserve">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2013 2nd sp.s. c 1 s 3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or a specific brownfield renewal authority established under RCW 70.105D.160;</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or the associated brownfield renewal authority created under RCW 70.105D.160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established under </w:t>
      </w:r>
      <w:r>
        <w:t>((</w:t>
      </w:r>
      <w:r>
        <w:rPr>
          <w:strike/>
        </w:rPr>
        <w:t xml:space="preserve">RCW 70.105D.070</w:t>
      </w:r>
      <w:r>
        <w:t>))</w:t>
      </w:r>
      <w:r>
        <w:rPr/>
        <w:t xml:space="preserve"> </w:t>
      </w:r>
      <w:r>
        <w:rPr>
          <w:u w:val="single"/>
        </w:rPr>
        <w:t xml:space="preserve">sections 202 of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105D</w:t>
      </w:r>
      <w:r>
        <w:rPr/>
        <w:t xml:space="preserve">.</w:t>
      </w:r>
      <w:r>
        <w:t xml:space="preserve">170</w:t>
      </w:r>
      <w:r>
        <w:rPr/>
        <w:t xml:space="preserve"> (Environmental legacy stewardship account) and 2013 2nd sp.s. c 28 s 1, 2013 2nd sp.s. c 19 s 7042, 2013 2nd sp.s. c 4 s 991, &amp; 2013 2nd sp.s. c 1 s 10;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070</w:t>
      </w:r>
      <w:r>
        <w:rPr/>
        <w:t xml:space="preserve"> (Toxics control accounts) and 2019 c . . . (SHB 1290) s 4, 2018 c 299 s 911, 2017 3rd sp.s. c 1 s 980, &amp; 2016 sp.s. c 36 s 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state toxics control account repealed by section 415 of this act on the effective date of this section must be transferred to the model toxics control operating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local toxics control account repealed by section 415 of this act on the effective date of this section must be transferred to the model toxics control capital account created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environmental legacy stewardship account repealed by section 415 of this act on the effective date of this section must be transferred to the model toxics control stormwater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709a6430fa2e4d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dd64c6b594fa9" /><Relationship Type="http://schemas.openxmlformats.org/officeDocument/2006/relationships/footer" Target="/word/footer1.xml" Id="R709a6430fa2e4d47" /></Relationships>
</file>