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0ec90a3d54f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Holy, King, Keiser, Pedersen, Van De Wege, Wilson, L., and Saldaña; by request of Gambling Commission</w:t>
      </w:r>
    </w:p>
    <w:p/>
    <w:p>
      <w:r>
        <w:rPr>
          <w:t xml:space="preserve">Prefiled 12/27/19.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that money laundering forfeited proceeds and property be used for improvement of gambling-related law enforcement activities; and amending RCW 9A.83.030.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 </w:t>
      </w:r>
      <w:r>
        <w:rPr>
          <w:u w:val="single"/>
        </w:rPr>
        <w:t xml:space="preserve">or 9.46.231 (6) through (8) and (10)</w:t>
      </w:r>
      <w:r>
        <w:rPr/>
        <w:t xml:space="preserve">.</w:t>
      </w:r>
    </w:p>
    <w:p/>
    <w:p>
      <w:pPr>
        <w:jc w:val="center"/>
      </w:pPr>
      <w:r>
        <w:rPr>
          <w:b/>
        </w:rPr>
        <w:t>--- END ---</w:t>
      </w:r>
    </w:p>
    <w:sectPr>
      <w:pgNumType w:start="1"/>
      <w:footerReference xmlns:r="http://schemas.openxmlformats.org/officeDocument/2006/relationships" r:id="R36742d982db842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3ff52c1864684" /><Relationship Type="http://schemas.openxmlformats.org/officeDocument/2006/relationships/footer" Target="/word/footer1.xml" Id="R36742d982db842bf" /></Relationships>
</file>