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7016151a649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Salomon, Billig, Hunt, Nguyen, McCoy, Lovelett, Kuderer, Rolfes, Liias, Van De Wege, Das,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concerning the level of foreign national ownership and control of entities that participate in Washington state elections; amending RCW 42.17A.005, 42.17A.240, 42.17A.250, 42.17A.255, 42.17A.260, 42.17A.265, and 42.17A.305; adding new sections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that these rights are reserved solely for citizens of the United States and permanent legal residents, whether they act as individuals or in association. The First Amendment protection for political speech does not apply to foreign nationals, who are forbidden under 52 U.S.C. Sec. 30121 from directly or indirectly making political contributions or financing independent expenditures and electioneering communications, either individually or collectively through a corporation or other association. Furthermore, federal law prohibits any person from knowingly soliciting or receiving contributions from a foreign national. Therefore, it falls to individual states to help protect the prohibition on foreign influence in our state and local elections by requiring certification that contributions, expenditures, political advertising, and electioneering communications are not financed in any part by foreign nationals and that foreign nationals are not involved in making decisions regarding such election activity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means:</w:t>
      </w:r>
    </w:p>
    <w:p>
      <w:pPr>
        <w:spacing w:before="0" w:after="0" w:line="408" w:lineRule="exact"/>
        <w:ind w:left="0" w:right="0" w:firstLine="576"/>
        <w:jc w:val="left"/>
      </w:pPr>
      <w:r>
        <w:rPr>
          <w:u w:val="single"/>
        </w:rPr>
        <w:t xml:space="preserve">(a) An individual who is not a citizen of the United States and is not lawfully admitted for permanent residence;</w:t>
      </w:r>
    </w:p>
    <w:p>
      <w:pPr>
        <w:spacing w:before="0" w:after="0" w:line="408" w:lineRule="exact"/>
        <w:ind w:left="0" w:right="0" w:firstLine="576"/>
        <w:jc w:val="left"/>
      </w:pPr>
      <w:r>
        <w:rPr>
          <w:u w:val="single"/>
        </w:rPr>
        <w:t xml:space="preserve">(b) A government, or subdivision,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u w:val="single"/>
        </w:rPr>
        <w:t xml:space="preserve">(a) The contribution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contribution in any way;</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statement from the person making an independent expenditure that:</w:t>
      </w:r>
    </w:p>
    <w:p>
      <w:pPr>
        <w:spacing w:before="0" w:after="0" w:line="408" w:lineRule="exact"/>
        <w:ind w:left="0" w:right="0" w:firstLine="576"/>
        <w:jc w:val="left"/>
      </w:pPr>
      <w:r>
        <w:rPr>
          <w:u w:val="single"/>
        </w:rPr>
        <w:t xml:space="preserve">(i) The expenditure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expenditure in any way;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2019 c 428 s 23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twenty-one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42.17A.235, or 42.17A.240,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t>((</w:t>
      </w:r>
      <w:r>
        <w:rPr>
          <w:strike/>
        </w:rPr>
        <w:t xml:space="preserve">and</w:t>
      </w:r>
      <w:r>
        <w:t>))</w:t>
      </w:r>
    </w:p>
    <w:p>
      <w:pPr>
        <w:spacing w:before="0" w:after="0" w:line="408" w:lineRule="exact"/>
        <w:ind w:left="0" w:right="0" w:firstLine="576"/>
        <w:jc w:val="left"/>
      </w:pPr>
      <w:r>
        <w:rPr/>
        <w:t xml:space="preserve">(g) </w:t>
      </w:r>
      <w:r>
        <w:rPr>
          <w:u w:val="single"/>
        </w:rPr>
        <w:t xml:space="preserve">A statement from the sponsor that:</w:t>
      </w:r>
    </w:p>
    <w:p>
      <w:pPr>
        <w:spacing w:before="0" w:after="0" w:line="408" w:lineRule="exact"/>
        <w:ind w:left="0" w:right="0" w:firstLine="576"/>
        <w:jc w:val="left"/>
      </w:pPr>
      <w:r>
        <w:rPr>
          <w:u w:val="single"/>
        </w:rPr>
        <w:t xml:space="preserve">(i) The political advertising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political advertising in any way; and</w:t>
      </w:r>
    </w:p>
    <w:p>
      <w:pPr>
        <w:spacing w:before="0" w:after="0" w:line="408" w:lineRule="exact"/>
        <w:ind w:left="0" w:right="0" w:firstLine="576"/>
        <w:jc w:val="left"/>
      </w:pPr>
      <w:r>
        <w:rPr>
          <w:u w:val="single"/>
        </w:rPr>
        <w:t xml:space="preserve">(h)</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2019 c 428 s 24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t>((</w:t>
      </w:r>
      <w:r>
        <w:rPr>
          <w:strike/>
        </w:rPr>
        <w:t xml:space="preserve">and</w:t>
      </w:r>
      <w:r>
        <w:t>))</w:t>
      </w:r>
    </w:p>
    <w:p>
      <w:pPr>
        <w:spacing w:before="0" w:after="0" w:line="408" w:lineRule="exact"/>
        <w:ind w:left="0" w:right="0" w:firstLine="576"/>
        <w:jc w:val="left"/>
      </w:pPr>
      <w:r>
        <w:rPr/>
        <w:t xml:space="preserve">(e) </w:t>
      </w:r>
      <w:r>
        <w:rPr>
          <w:u w:val="singl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(f)</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2019 c 428 s 25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t>((</w:t>
      </w:r>
      <w:r>
        <w:rPr>
          <w:strike/>
        </w:rPr>
        <w:t xml:space="preserve">and</w:t>
      </w:r>
      <w:r>
        <w:t>))</w:t>
      </w:r>
    </w:p>
    <w:p>
      <w:pPr>
        <w:spacing w:before="0" w:after="0" w:line="408" w:lineRule="exact"/>
        <w:ind w:left="0" w:right="0" w:firstLine="576"/>
        <w:jc w:val="left"/>
      </w:pPr>
      <w:r>
        <w:rPr/>
        <w:t xml:space="preserve">(iii) </w:t>
      </w:r>
      <w:r>
        <w:rPr>
          <w:u w:val="single"/>
        </w:rPr>
        <w:t xml:space="preserve">A statement from the sponsor that:</w:t>
      </w:r>
    </w:p>
    <w:p>
      <w:pPr>
        <w:spacing w:before="0" w:after="0" w:line="408" w:lineRule="exact"/>
        <w:ind w:left="0" w:right="0" w:firstLine="576"/>
        <w:jc w:val="left"/>
      </w:pPr>
      <w:r>
        <w:rPr>
          <w:u w:val="single"/>
        </w:rPr>
        <w:t xml:space="preserve">(A) The electioneering communication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electioneering communication in any way; and</w:t>
      </w:r>
    </w:p>
    <w:p>
      <w:pPr>
        <w:spacing w:before="0" w:after="0" w:line="408" w:lineRule="exact"/>
        <w:ind w:left="0" w:right="0" w:firstLine="576"/>
        <w:jc w:val="left"/>
      </w:pPr>
      <w:r>
        <w:rPr>
          <w:u w:val="single"/>
        </w:rPr>
        <w:t xml:space="preserve">(iv)</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This act does not affect or modify the power of a local government to adopt an ordinance or regulation on matters governed by this act.</w:t>
      </w:r>
    </w:p>
    <w:p/>
    <w:p>
      <w:pPr>
        <w:jc w:val="center"/>
      </w:pPr>
      <w:r>
        <w:rPr>
          <w:b/>
        </w:rPr>
        <w:t>--- END ---</w:t>
      </w:r>
    </w:p>
    <w:sectPr>
      <w:pgNumType w:start="1"/>
      <w:footerReference xmlns:r="http://schemas.openxmlformats.org/officeDocument/2006/relationships" r:id="R8e07db8e808b4c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eca0f96af4e8f" /><Relationship Type="http://schemas.openxmlformats.org/officeDocument/2006/relationships/footer" Target="/word/footer1.xml" Id="R8e07db8e808b4c11" /></Relationships>
</file>