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ee5be187245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6404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Frockt, O'Ban, Dhingra, Becker, Kuderer, Rivers, Lovelett, Wellman, Pedersen, Nguyen, Darneille, Hasegawa, McCoy, Wilson, C., Das, Conway,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ten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ten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t xml:space="preserve">(3) By January 1, 2021, and annually thereafter, the commissioner shall aggregate and deidentify the data collected under subsection (1) of this section into a standard report and may not identify the name of the carrier that submitted the data. The initial report due on January 1, 2021, may omit data for which a hardship determination is made by the commissioner under subsection (2) of this section. Such data must be included in the report due on January 1, 2022. The commissioner must make the report available to interested parties.</w:t>
      </w:r>
    </w:p>
    <w:p>
      <w:pPr>
        <w:spacing w:before="0" w:after="0" w:line="408" w:lineRule="exact"/>
        <w:ind w:left="0" w:right="0" w:firstLine="576"/>
        <w:jc w:val="left"/>
      </w:pPr>
      <w:r>
        <w:rPr/>
        <w:t xml:space="preserve">(4) The commissioner may request additional information from carriers reporting data under this section.</w:t>
      </w:r>
    </w:p>
    <w:p>
      <w:pPr>
        <w:spacing w:before="0" w:after="0" w:line="408" w:lineRule="exact"/>
        <w:ind w:left="0" w:right="0" w:firstLine="576"/>
        <w:jc w:val="left"/>
      </w:pPr>
      <w:r>
        <w:rPr/>
        <w:t xml:space="preserve">(5)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
      <w:pPr>
        <w:jc w:val="center"/>
      </w:pPr>
      <w:r>
        <w:rPr>
          <w:b/>
        </w:rPr>
        <w:t>--- END ---</w:t>
      </w:r>
    </w:p>
    <w:sectPr>
      <w:pgNumType w:start="1"/>
      <w:footerReference xmlns:r="http://schemas.openxmlformats.org/officeDocument/2006/relationships" r:id="Rcef4a3a67e5e4e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b5c715ff54bdd" /><Relationship Type="http://schemas.openxmlformats.org/officeDocument/2006/relationships/footer" Target="/word/footer1.xml" Id="Rcef4a3a67e5e4e4a" /></Relationships>
</file>