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019c8d2cf146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6442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6442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Saldaña, Wilson, C., Salomon, McCoy, Wellman, Stanford, Hasegawa, Kuderer, Pedersen, Nguyen, Frockt, and Das)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private detainment of individuals; amending RCW 72.68.040, 72.68.010, and 72.68.001; reenacting and amending RCW 72.09.050; adding a new section to chapter 72.68 RCW; creating new sections; repealing RCW 72.68.012;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to cut operational costs, including the provision of food, health care, and rehabilitative services, because their primary fiduciary duty is to maximize shareholder profits. The legislature finds that this is in stark contrast to the interests of the state to ensure the health, safety, and welfare of Washingtonians.</w:t>
      </w:r>
    </w:p>
    <w:p>
      <w:pPr>
        <w:spacing w:before="0" w:after="0" w:line="408" w:lineRule="exact"/>
        <w:ind w:left="0" w:right="0" w:firstLine="576"/>
        <w:jc w:val="left"/>
      </w:pPr>
      <w:r>
        <w:rPr/>
        <w:t xml:space="preserve">(3) The legislature finds that people confined in for-profit prisons have experienced abuses and have been confined in dangerous and unsanitary conditions. Safety risks and abuses in private prisons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sixty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twenty-two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prisons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PROHIBITION ON PRIVATE INCARCERATION.</w:t>
      </w:r>
    </w:p>
    <w:p>
      <w:pPr>
        <w:spacing w:before="0" w:after="0" w:line="408" w:lineRule="exact"/>
        <w:ind w:left="0" w:right="0" w:firstLine="576"/>
        <w:jc w:val="left"/>
      </w:pPr>
      <w:r>
        <w:rPr/>
        <w:t xml:space="preserve">(1) Except as provided in subsection (2) of this section and RCW 72.68.010(2), the secretary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w:t>
      </w:r>
      <w:r>
        <w:t>((</w:t>
      </w:r>
      <w:r>
        <w:rPr>
          <w:strike/>
        </w:rPr>
        <w:t xml:space="preserve">private companies in other states,</w:t>
      </w:r>
      <w:r>
        <w:t>))</w:t>
      </w:r>
      <w:r>
        <w:rPr/>
        <w:t xml:space="preserve">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t>((</w:t>
      </w:r>
      <w:r>
        <w:rPr>
          <w:strike/>
        </w:rPr>
        <w:t xml:space="preserve">After</w:t>
      </w:r>
      <w:r>
        <w:t>))</w:t>
      </w:r>
      <w:r>
        <w:rPr/>
        <w:t xml:space="preserve"> </w:t>
      </w:r>
      <w:r>
        <w:rPr>
          <w:u w:val="single"/>
        </w:rPr>
        <w:t xml:space="preserve">Except as provided in subsection (2) of this section, after</w:t>
      </w:r>
      <w:r>
        <w:rPr/>
        <w:t xml:space="preserve">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w:t>
      </w:r>
      <w:r>
        <w:rPr>
          <w:u w:val="single"/>
        </w:rPr>
        <w:t xml:space="preserve">(a) The secretary has the authority to transfer offenders to an out-of-state private correctional entity only if:</w:t>
      </w:r>
    </w:p>
    <w:p>
      <w:pPr>
        <w:spacing w:before="0" w:after="0" w:line="408" w:lineRule="exact"/>
        <w:ind w:left="0" w:right="0" w:firstLine="576"/>
        <w:jc w:val="left"/>
      </w:pPr>
      <w:r>
        <w:rPr>
          <w:u w:val="single"/>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u w:val="single"/>
        </w:rPr>
        <w:t xml:space="preserve">(ii) The governor has considered all other legal options to address capacity, including those pursuant to RCW 9.94A.870;</w:t>
      </w:r>
    </w:p>
    <w:p>
      <w:pPr>
        <w:spacing w:before="0" w:after="0" w:line="408" w:lineRule="exact"/>
        <w:ind w:left="0" w:right="0" w:firstLine="576"/>
        <w:jc w:val="left"/>
      </w:pPr>
      <w:r>
        <w:rPr>
          <w:u w:val="single"/>
        </w:rPr>
        <w:t xml:space="preserve">(iii) The secretary determines that transfer is in the best interest of the state or the offender; and</w:t>
      </w:r>
    </w:p>
    <w:p>
      <w:pPr>
        <w:spacing w:before="0" w:after="0" w:line="408" w:lineRule="exact"/>
        <w:ind w:left="0" w:right="0" w:firstLine="576"/>
        <w:jc w:val="left"/>
      </w:pPr>
      <w:r>
        <w:rPr>
          <w:u w:val="single"/>
        </w:rPr>
        <w:t xml:space="preserve">(iv) The contract with the out-of-state private correctional entity includes requirements for access to public records to the same extent as if the facility were operated by the department, inmate access to the office of the corrections ombuds, and inspections and visits without notice.</w:t>
      </w:r>
    </w:p>
    <w:p>
      <w:pPr>
        <w:spacing w:before="0" w:after="0" w:line="408" w:lineRule="exact"/>
        <w:ind w:left="0" w:right="0" w:firstLine="576"/>
        <w:jc w:val="left"/>
      </w:pPr>
      <w:r>
        <w:rPr>
          <w:u w:val="single"/>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u w:val="single"/>
        </w:rPr>
        <w:t xml:space="preserve">(3)</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d3dedc4f7ba4d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bf77d6327413d" /><Relationship Type="http://schemas.openxmlformats.org/officeDocument/2006/relationships/footer" Target="/word/footer1.xml" Id="R6d3dedc4f7ba4d61" /></Relationships>
</file>