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526bbcd4824b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6641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O'Ban, Conway,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certified sex offender treatment providers; amending RCW 18.155.020, 18.155.030, 18.155.075, 18.155.080, and 18.155.040; adding a new section to chapter 18.155 RCW; adding a new section to chapter 71.09 RCW; and decodifying RCW 18.155.900, 18.155.901, and 18.155.902.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"Advisory committee" means the sex offender treatment providers advisory committee established under section 5 of this act.</w:t>
      </w:r>
    </w:p>
    <w:p>
      <w:pPr>
        <w:spacing w:before="0" w:after="0" w:line="408" w:lineRule="exact"/>
        <w:ind w:left="0" w:right="0" w:firstLine="576"/>
        <w:jc w:val="left"/>
      </w:pPr>
      <w:r>
        <w:rPr>
          <w:u w:val="single"/>
        </w:rPr>
        <w:t xml:space="preserve">(2)</w:t>
      </w:r>
      <w:r>
        <w:rPr/>
        <w:t xml:space="preserve"> "Certified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(6)</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facilities or state-run treatment programs are not required to be a certified sex offender treatment provider or a certified affiliate sex offender treatment provider to do the work described in this section as part of their job duties if not pursuing certification under this chapter.</w:t>
      </w:r>
    </w:p>
    <w:p>
      <w:pPr>
        <w:spacing w:before="0" w:after="0" w:line="408" w:lineRule="exact"/>
        <w:ind w:left="0" w:right="0" w:firstLine="576"/>
        <w:jc w:val="left"/>
      </w:pPr>
      <w:r>
        <w:rPr>
          <w:u w:val="single"/>
        </w:rPr>
        <w:t xml:space="preserve">(6) Individuals credentialed by the department of health as a certified sex offender treatment provider or a certified affiliate sex offender treatment provider prior to the effective date of this section are considered to have met the requirement of holding an underlying health license or credential described in RCW 18.155.020 (2) and (3),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u w:val="single"/>
        </w:rPr>
        <w:t xml:space="preserve">(1)</w:t>
      </w:r>
      <w:r>
        <w:rPr/>
        <w:t xml:space="preserve"> The department shall issue an affiliate certificate to any applicant who meets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Successful completion of an examination administered or approved by the secretary;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Not having engaged in unprofessional conduct or being unable to practice with reasonable skill and safety as a result of a physical or mental impairment;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requirements as may be established by the secretary that impact the competence of the sex offender treatment provider.</w:t>
      </w:r>
    </w:p>
    <w:p>
      <w:pPr>
        <w:spacing w:before="0" w:after="0" w:line="408" w:lineRule="exact"/>
        <w:ind w:left="0" w:right="0" w:firstLine="576"/>
        <w:jc w:val="left"/>
      </w:pPr>
      <w:r>
        <w:rPr>
          <w:u w:val="single"/>
        </w:rPr>
        <w:t xml:space="preserve">(2) Individuals credentialed by the department of health as a certified affiliate sex offender treatment provider prior to the effective date of this section are considered to have met the requirement of holding an underlying health license or credential described in RCW 18.155.020(3),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program in Washington or in another state or territory of the United States where the applicant demonstrates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advisory committee,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program may obtain the necessary experience to qualify for this certification through their work and do not need to be certified as an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 offender treatment providers advisory committee is 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a statewide association representing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In considering workforce issues, the advisory committee must evaluate options for reducing or eliminating some or all of the certification-related fees, including the feasibility of requiring that the cost of regulation of persons certified under this chapter be borne by the professions that are identified as eligible to be an underlying credential for certification;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040</w:t>
      </w:r>
      <w:r>
        <w:rPr/>
        <w:t xml:space="preserve"> and 2004 c 38 s 5 are each amended to read as follows:</w:t>
      </w:r>
    </w:p>
    <w:p>
      <w:pPr>
        <w:spacing w:before="0" w:after="0" w:line="408" w:lineRule="exact"/>
        <w:ind w:left="0" w:right="0" w:firstLine="576"/>
        <w:jc w:val="left"/>
      </w:pPr>
      <w:r>
        <w:rPr/>
        <w:t xml:space="preserve">In addition to any other authority provided by law, the secretary shall have the following authority:</w:t>
      </w:r>
    </w:p>
    <w:p>
      <w:pPr>
        <w:spacing w:before="0" w:after="0" w:line="408" w:lineRule="exact"/>
        <w:ind w:left="0" w:right="0" w:firstLine="576"/>
        <w:jc w:val="left"/>
      </w:pPr>
      <w:r>
        <w:rPr/>
        <w:t xml:space="preserve">(1) To set administrative procedures, administrative requirements, and fees in accordance with RCW 43.70.250 </w:t>
      </w:r>
      <w:r>
        <w:t>((</w:t>
      </w:r>
      <w:r>
        <w:rPr>
          <w:strike/>
        </w:rPr>
        <w:t xml:space="preserve">and</w:t>
      </w:r>
      <w:r>
        <w:t>))</w:t>
      </w:r>
      <w:r>
        <w:rPr>
          <w:u w:val="single"/>
        </w:rPr>
        <w:t xml:space="preserve">,</w:t>
      </w:r>
      <w:r>
        <w:rPr/>
        <w:t xml:space="preserve"> 43.70.280</w:t>
      </w:r>
      <w:r>
        <w:rPr>
          <w:u w:val="single"/>
        </w:rPr>
        <w:t xml:space="preserve">, and section 6 of this act</w:t>
      </w:r>
      <w:r>
        <w:rPr/>
        <w:t xml:space="preserve">;</w:t>
      </w:r>
    </w:p>
    <w:p>
      <w:pPr>
        <w:spacing w:before="0" w:after="0" w:line="408" w:lineRule="exact"/>
        <w:ind w:left="0" w:right="0" w:firstLine="576"/>
        <w:jc w:val="left"/>
      </w:pPr>
      <w:r>
        <w:rPr/>
        <w:t xml:space="preserve">(2) To establish forms necessary to administer this chapter;</w:t>
      </w:r>
    </w:p>
    <w:p>
      <w:pPr>
        <w:spacing w:before="0" w:after="0" w:line="408" w:lineRule="exact"/>
        <w:ind w:left="0" w:right="0" w:firstLine="576"/>
        <w:jc w:val="left"/>
      </w:pPr>
      <w:r>
        <w:rPr/>
        <w:t xml:space="preserve">(3) To issue a certificate or an affiliate certificate to any applicant who has met the education, training, and examination requirements for certification or an affiliate certification and deny a certificate to applicants who do not meet the minimum qualifications for certification or affiliate certification. Proceedings concerning the denial of certificates based on unprofessional conduct or impaired practice shall be governed by the uniform disciplinary act, chapter 18.130 RCW;</w:t>
      </w:r>
    </w:p>
    <w:p>
      <w:pPr>
        <w:spacing w:before="0" w:after="0" w:line="408" w:lineRule="exact"/>
        <w:ind w:left="0" w:right="0" w:firstLine="576"/>
        <w:jc w:val="left"/>
      </w:pPr>
      <w:r>
        <w:rPr/>
        <w:t xml:space="preserve">(4) To hire clerical, administrative, and investigative staff as needed to implement and administer this chapter and to hire individuals including those certified under this chapter to serve as examiners or consultants as necessary to implement and administer this chapter;</w:t>
      </w:r>
    </w:p>
    <w:p>
      <w:pPr>
        <w:spacing w:before="0" w:after="0" w:line="408" w:lineRule="exact"/>
        <w:ind w:left="0" w:right="0" w:firstLine="576"/>
        <w:jc w:val="left"/>
      </w:pPr>
      <w:r>
        <w:rPr/>
        <w:t xml:space="preserve">(5) To maintain the official department record of all applicants and certifications;</w:t>
      </w:r>
    </w:p>
    <w:p>
      <w:pPr>
        <w:spacing w:before="0" w:after="0" w:line="408" w:lineRule="exact"/>
        <w:ind w:left="0" w:right="0" w:firstLine="576"/>
        <w:jc w:val="left"/>
      </w:pPr>
      <w:r>
        <w:rPr/>
        <w:t xml:space="preserve">(6) To conduct a hearing on an appeal of a denial of a certificate on the applicant's failure to meet the minimum qualifications for certification. The hearing shall be conducted pursuant to chapter 34.05 RCW;</w:t>
      </w:r>
    </w:p>
    <w:p>
      <w:pPr>
        <w:spacing w:before="0" w:after="0" w:line="408" w:lineRule="exact"/>
        <w:ind w:left="0" w:right="0" w:firstLine="576"/>
        <w:jc w:val="left"/>
      </w:pPr>
      <w:r>
        <w:rPr/>
        <w:t xml:space="preserve">(7) To issue subpoenas, statements of charges, statements of intent to deny certificates, and orders and to delegate in writing to a designee the authority to issue subpoenas, statements of charges, and statements of intent to deny certificates;</w:t>
      </w:r>
    </w:p>
    <w:p>
      <w:pPr>
        <w:spacing w:before="0" w:after="0" w:line="408" w:lineRule="exact"/>
        <w:ind w:left="0" w:right="0" w:firstLine="576"/>
        <w:jc w:val="left"/>
      </w:pPr>
      <w:r>
        <w:rPr/>
        <w:t xml:space="preserve">(8) To determine the minimum education, work experience, and training requirements for certification or affiliate certification, including but not limited to approval of educational programs;</w:t>
      </w:r>
    </w:p>
    <w:p>
      <w:pPr>
        <w:spacing w:before="0" w:after="0" w:line="408" w:lineRule="exact"/>
        <w:ind w:left="0" w:right="0" w:firstLine="576"/>
        <w:jc w:val="left"/>
      </w:pPr>
      <w:r>
        <w:rPr/>
        <w:t xml:space="preserve">(9) To prepare and administer or approve the preparation and administration of examinations for certification;</w:t>
      </w:r>
    </w:p>
    <w:p>
      <w:pPr>
        <w:spacing w:before="0" w:after="0" w:line="408" w:lineRule="exact"/>
        <w:ind w:left="0" w:right="0" w:firstLine="576"/>
        <w:jc w:val="left"/>
      </w:pPr>
      <w:r>
        <w:rPr/>
        <w:t xml:space="preserve">(10) To establish by rule the procedure for appeal of an examination failure;</w:t>
      </w:r>
    </w:p>
    <w:p>
      <w:pPr>
        <w:spacing w:before="0" w:after="0" w:line="408" w:lineRule="exact"/>
        <w:ind w:left="0" w:right="0" w:firstLine="576"/>
        <w:jc w:val="left"/>
      </w:pPr>
      <w:r>
        <w:rPr/>
        <w:t xml:space="preserve">(11) To adopt rules implementing a continuing competency program;</w:t>
      </w:r>
    </w:p>
    <w:p>
      <w:pPr>
        <w:spacing w:before="0" w:after="0" w:line="408" w:lineRule="exact"/>
        <w:ind w:left="0" w:right="0" w:firstLine="576"/>
        <w:jc w:val="left"/>
      </w:pPr>
      <w:r>
        <w:rPr/>
        <w:t xml:space="preserve">(12) To adopt rules in accordance with chapter 34.05 RCW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
      <w:pPr>
        <w:jc w:val="center"/>
      </w:pPr>
      <w:r>
        <w:rPr>
          <w:b/>
        </w:rPr>
        <w:t>--- END ---</w:t>
      </w:r>
    </w:p>
    <w:sectPr>
      <w:pgNumType w:start="1"/>
      <w:footerReference xmlns:r="http://schemas.openxmlformats.org/officeDocument/2006/relationships" r:id="Rd3cb4975c3d24f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1f90bcf8943c7" /><Relationship Type="http://schemas.openxmlformats.org/officeDocument/2006/relationships/footer" Target="/word/footer1.xml" Id="Rd3cb4975c3d24f38" /></Relationships>
</file>