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a9897d2d54f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6660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Braun, and Mullet)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fiscal responsibility and budget discipline by replacing the spending limit with additional four-year balanced budget requirements; amending RCW 43.88.030, 43.88.055, 43.135.025, 43.135.034, and 82.33.060; repealing RCW 43.135.010, 43.135.0341, 43.135.0342, 43.135.0343, 43.135.0351, 43.135.080, and 43.135.904;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w:t>
      </w:r>
      <w:r>
        <w:rPr>
          <w:u w:val="single"/>
        </w:rPr>
        <w:t xml:space="preserve">(a)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u w:val="single"/>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u w:val="single"/>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u w:val="single"/>
        </w:rPr>
        <w:t xml:space="preserve">(iii) "Related funds" has the meaning defined in RCW 43.88.055.</w:t>
      </w:r>
    </w:p>
    <w:p>
      <w:pPr>
        <w:spacing w:before="0" w:after="0" w:line="408" w:lineRule="exact"/>
        <w:ind w:left="0" w:right="0" w:firstLine="576"/>
        <w:jc w:val="left"/>
      </w:pPr>
      <w:r>
        <w:rPr>
          <w:u w:val="single"/>
        </w:rPr>
        <w:t xml:space="preserve">(d) (b) of this subsection (5) does not apply:</w:t>
      </w:r>
    </w:p>
    <w:p>
      <w:pPr>
        <w:spacing w:before="0" w:after="0" w:line="408" w:lineRule="exact"/>
        <w:ind w:left="0" w:right="0" w:firstLine="576"/>
        <w:jc w:val="left"/>
      </w:pPr>
      <w:r>
        <w:rPr>
          <w:u w:val="single"/>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43.88.110(7); or</w:t>
      </w:r>
    </w:p>
    <w:p>
      <w:pPr>
        <w:spacing w:before="0" w:after="0" w:line="408" w:lineRule="exact"/>
        <w:ind w:left="0" w:right="0" w:firstLine="576"/>
        <w:jc w:val="left"/>
      </w:pPr>
      <w:r>
        <w:rPr>
          <w:u w:val="single"/>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u w:val="single"/>
        </w:rPr>
        <w:t xml:space="preserve">(6)</w:t>
      </w:r>
      <w:r>
        <w:rPr/>
        <w:t xml:space="preserve">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w:t>
      </w:r>
      <w:r>
        <w:t>((</w:t>
      </w:r>
      <w:r>
        <w:rPr>
          <w:strike/>
        </w:rPr>
        <w:t xml:space="preserve">(5)</w:t>
      </w:r>
      <w:r>
        <w:t>))</w:t>
      </w:r>
      <w:r>
        <w:rPr/>
        <w:t xml:space="preserve"> </w:t>
      </w:r>
      <w:r>
        <w:rPr>
          <w:u w:val="single"/>
        </w:rPr>
        <w:t xml:space="preserve">(6)</w:t>
      </w:r>
      <w:r>
        <w:rPr/>
        <w:t xml:space="preserve">,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pursuant to Article VII, section 12(d)(ii)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w:t>
      </w:r>
      <w:r>
        <w:t>((</w:t>
      </w:r>
      <w:r>
        <w:rPr>
          <w:strike/>
        </w:rPr>
        <w:t xml:space="preserve">Beginning July 1, 2021,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strike/>
        </w:rPr>
        <w:t xml:space="preserve">(2) Except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strike/>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strike/>
        </w:rPr>
        <w:t xml:space="preserve">(4) For purposes of computing the state expenditure limit for the fiscal year beginning July 1, 2021, the phrase "the previous fiscal year's state expenditure limit" means the total state expenditures from the state general fund for the fiscal year beginning July 1, 2020, plus the fiscal growth factor.</w:t>
      </w:r>
    </w:p>
    <w:p>
      <w:pPr>
        <w:spacing w:before="0" w:after="0" w:line="408" w:lineRule="exact"/>
        <w:ind w:left="0" w:right="0" w:firstLine="576"/>
        <w:jc w:val="left"/>
      </w:pPr>
      <w:r>
        <w:rPr>
          <w:strike/>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strike/>
        </w:rPr>
        <w:t xml:space="preserve">(6)</w:t>
      </w:r>
      <w:r>
        <w:t>))</w:t>
      </w:r>
      <w:r>
        <w:rPr/>
        <w:t xml:space="preserve"> Each November, the </w:t>
      </w:r>
      <w:r>
        <w:t>((</w:t>
      </w:r>
      <w:r>
        <w:rPr>
          <w:strike/>
        </w:rPr>
        <w:t xml:space="preserve">state expenditure limit committee</w:t>
      </w:r>
      <w:r>
        <w:t>))</w:t>
      </w:r>
      <w:r>
        <w:rPr/>
        <w:t xml:space="preserve"> </w:t>
      </w:r>
      <w:r>
        <w:rPr>
          <w:u w:val="single"/>
        </w:rPr>
        <w:t xml:space="preserve">economic and revenue forecast council</w:t>
      </w:r>
      <w:r>
        <w:rPr/>
        <w:t xml:space="preserve"> shall </w:t>
      </w:r>
      <w:r>
        <w:t>((</w:t>
      </w:r>
      <w:r>
        <w:rPr>
          <w:strike/>
        </w:rPr>
        <w:t xml:space="preserve">adjust the expenditure limit for the preceding fiscal year based on actual expenditures and known changes in</w:t>
      </w:r>
      <w:r>
        <w:t>))</w:t>
      </w:r>
      <w:r>
        <w:rPr/>
        <w:t xml:space="preserve"> </w:t>
      </w:r>
      <w:r>
        <w:rPr>
          <w:u w:val="single"/>
        </w:rPr>
        <w:t xml:space="preserve">calculate</w:t>
      </w:r>
      <w:r>
        <w:rPr/>
        <w:t xml:space="preserve"> the fiscal growth factor </w:t>
      </w:r>
      <w:r>
        <w:t>((</w:t>
      </w:r>
      <w:r>
        <w:rPr>
          <w:strike/>
        </w:rPr>
        <w:t xml:space="preserve">and then project an expenditure limit</w:t>
      </w:r>
      <w:r>
        <w:t>))</w:t>
      </w:r>
      <w:r>
        <w:rPr/>
        <w:t xml:space="preserve"> for </w:t>
      </w:r>
      <w:r>
        <w:t>((</w:t>
      </w:r>
      <w:r>
        <w:rPr>
          <w:strike/>
        </w:rPr>
        <w:t xml:space="preserve">the next two</w:t>
      </w:r>
      <w:r>
        <w:t>))</w:t>
      </w:r>
      <w:r>
        <w:rPr/>
        <w:t xml:space="preserve"> </w:t>
      </w:r>
      <w:r>
        <w:rPr>
          <w:u w:val="single"/>
        </w:rPr>
        <w:t xml:space="preserve">each</w:t>
      </w:r>
      <w:r>
        <w:rPr/>
        <w:t xml:space="preserve"> fiscal </w:t>
      </w:r>
      <w:r>
        <w:t>((</w:t>
      </w:r>
      <w:r>
        <w:rPr>
          <w:strike/>
        </w:rPr>
        <w:t xml:space="preserve">years</w:t>
      </w:r>
      <w:r>
        <w:t>))</w:t>
      </w:r>
      <w:r>
        <w:rPr/>
        <w:t xml:space="preserve"> </w:t>
      </w:r>
      <w:r>
        <w:rPr>
          <w:u w:val="single"/>
        </w:rPr>
        <w:t xml:space="preserve">year of the current biennium and the ensuing biennium</w:t>
      </w:r>
      <w:r>
        <w:rPr/>
        <w:t xml:space="preserve">. </w:t>
      </w:r>
      <w:r>
        <w:t>((</w:t>
      </w:r>
      <w:r>
        <w:rPr>
          <w:strike/>
        </w:rPr>
        <w:t xml:space="preserve">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strike/>
        </w:rPr>
        <w:t xml:space="preserve">(7)</w:t>
      </w:r>
      <w:r>
        <w:t>))</w:t>
      </w:r>
      <w:r>
        <w:rPr/>
        <w:t xml:space="preserve"> </w:t>
      </w: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w:t>
      </w:r>
      <w:r>
        <w:rPr/>
        <w:t xml:space="preserve"> "Fiscal growth factor" means the average growth in state personal income for the prior ten fiscal years.</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w:t>
      </w:r>
      <w:r>
        <w:t>((</w:t>
      </w:r>
      <w:r>
        <w:rPr>
          <w:strike/>
        </w:rPr>
        <w:t xml:space="preserve">(a)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w:t>
      </w:r>
      <w:r>
        <w:t>))</w:t>
      </w:r>
      <w:r>
        <w:rPr/>
        <w:t xml:space="preserve">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t>((</w:t>
      </w: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w:t>
      </w:r>
      <w:r>
        <w:rPr>
          <w:u w:val="single"/>
        </w:rPr>
        <w:t xml:space="preserve">and 43.88.030</w:t>
      </w:r>
      <w:r>
        <w:rPr/>
        <w:t xml:space="preserve">, the state budget outlook work group shall prepare, subject to the approval of the economic and revenue forecast council under RCW 82.33.010, an official state budget outlook for state revenues and expenditures for the general fund and related funds. </w:t>
      </w:r>
      <w:r>
        <w:t>((</w:t>
      </w:r>
      <w:r>
        <w:rPr>
          <w:strike/>
        </w:rPr>
        <w:t xml:space="preserve">In odd-numbered years, the period covered by the November state budget outlook shall be the current fiscal biennium and the next ensuing fiscal biennium. In even-numbered years, the period covered by the November state budget outlook shall be the next two ensuing fiscal biennia.</w:t>
      </w:r>
      <w:r>
        <w:t>))</w:t>
      </w:r>
      <w:r>
        <w:rPr/>
        <w:t xml:space="preserve">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010</w:t>
      </w:r>
      <w:r>
        <w:rPr/>
        <w:t xml:space="preserve"> (Findings</w:t>
      </w:r>
      <w:r>
        <w:rPr>
          <w:rFonts w:ascii="Times New Roman" w:hAnsi="Times New Roman"/>
        </w:rPr>
        <w:t xml:space="preserve">—</w:t>
      </w:r>
      <w:r>
        <w:rPr/>
        <w:t xml:space="preserve">Intent) and 2015 3rd sp.s. c 29 s 2, 2005 c 72 s 3, 1994 c 2 s 1 (Initiative Measure No. 601, approved November 2, 1993), &amp; 1980 c 1 s 1 (Initiative Measure No. 62, approved November 6, 1979);</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0341</w:t>
      </w:r>
      <w:r>
        <w:rPr/>
        <w:t xml:space="preserve"> (Child and family reinvestment account transfers) and 2012 c 204 s 3;</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(Referendum Bill No. 49, approved November 3, 1998); and</w:t>
      </w:r>
    </w:p>
    <w:p>
      <w:pPr>
        <w:spacing w:before="0" w:after="0" w:line="408" w:lineRule="exact"/>
        <w:ind w:left="0" w:right="0" w:firstLine="576"/>
        <w:jc w:val="left"/>
      </w:pPr>
      <w:r>
        <w:t>(7)</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 (Initiative Measure No. 601, approved November 2,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95ed9054700f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4b39c274d4983" /><Relationship Type="http://schemas.openxmlformats.org/officeDocument/2006/relationships/footer" Target="/word/footer1.xml" Id="R95ed9054700f45c9" /></Relationships>
</file>