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f648881e14999" /></Relationships>
</file>

<file path=word/document.xml><?xml version="1.0" encoding="utf-8"?>
<w:document xmlns:w="http://schemas.openxmlformats.org/wordprocessingml/2006/main">
  <w:body>
    <w:p>
      <w:pPr>
        <w:jc w:val="center"/>
      </w:pPr>
      <w:r>
        <w:t>SENATE RESOLUTION</w:t>
      </w:r>
    </w:p>
    <w:p>
      <w:pPr>
        <w:jc w:val="center"/>
      </w:pPr>
      <w:r>
        <w:t>8657</w:t>
      </w:r>
    </w:p>
    <w:p/>
    <w:p/>
    <w:p>
      <w:r>
        <w:t xml:space="preserve">By </w:t>
      </w:r>
      <w:r>
        <w:t>Senator Liias</w:t>
      </w:r>
    </w:p>
    <w:p/>
    <w:p>
      <w:pPr>
        <w:spacing w:before="0" w:after="0" w:line="240" w:lineRule="exact"/>
        <w:ind w:left="0" w:right="0" w:firstLine="576"/>
        <w:jc w:val="left"/>
      </w:pPr>
      <w:r>
        <w:rPr/>
        <w:t xml:space="preserve">WHEREAS, The Senate adopted permanent rules for the 2019-2021 biennium under Senate Resolution 8601;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Rules 41, 45, and 49 are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and standing subcommittees on the part of the senate. The appointment of the conference, special, joint and standing committees and standing subcommittees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standing subcommittee, such committee or standing subcommittee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Agriculture, Water, Natural Resources &amp; Parks</w:t>
      </w:r>
      <w:r>
        <w:tab/>
      </w:r>
      <w:r>
        <w:rPr/>
        <w:t xml:space="preserve">7</w:t>
      </w:r>
    </w:p>
    <w:p>
      <w:pPr>
        <w:spacing w:before="0" w:after="0" w:line="240" w:lineRule="exact"/>
        <w:ind w:left="0" w:right="0" w:firstLine="576"/>
        <w:jc w:val="left"/>
        <w:tabs>
          <w:tab w:val="right" w:leader="dot" w:pos="9936"/>
        </w:tabs>
      </w:pPr>
      <w:r>
        <w:rPr/>
        <w:t xml:space="preserve">2. Early Learning &amp; K-12 Education</w:t>
      </w:r>
      <w:r>
        <w:tab/>
      </w:r>
      <w:r>
        <w:rPr/>
        <w:t xml:space="preserve">11</w:t>
      </w:r>
    </w:p>
    <w:p>
      <w:pPr>
        <w:spacing w:before="0" w:after="0" w:line="240" w:lineRule="exact"/>
        <w:ind w:left="0" w:right="0" w:firstLine="576"/>
        <w:jc w:val="left"/>
        <w:tabs>
          <w:tab w:val="right" w:leader="dot" w:pos="9936"/>
        </w:tabs>
      </w:pPr>
      <w:r>
        <w:rPr/>
        <w:t xml:space="preserve">3. Environment, Energy, &amp; Technology</w:t>
      </w:r>
      <w:r>
        <w:tab/>
      </w:r>
      <w:r>
        <w:rPr/>
        <w:t xml:space="preserve">15</w:t>
      </w:r>
    </w:p>
    <w:p>
      <w:pPr>
        <w:spacing w:before="0" w:after="0" w:line="240" w:lineRule="exact"/>
        <w:ind w:left="0" w:right="0" w:firstLine="576"/>
        <w:jc w:val="left"/>
        <w:tabs>
          <w:tab w:val="right" w:leader="dot" w:pos="9936"/>
        </w:tabs>
      </w:pPr>
      <w:r>
        <w:rPr/>
        <w:t xml:space="preserve">4. Financial Institutions, Economic Development &amp; Trade</w:t>
      </w:r>
      <w:r>
        <w:tab/>
      </w:r>
      <w:r>
        <w:rPr/>
        <w:t xml:space="preserve">7</w:t>
      </w:r>
    </w:p>
    <w:p>
      <w:pPr>
        <w:spacing w:before="0" w:after="0" w:line="240" w:lineRule="exact"/>
        <w:ind w:left="0" w:right="0" w:firstLine="576"/>
        <w:jc w:val="left"/>
        <w:tabs>
          <w:tab w:val="right" w:leader="dot" w:pos="9936"/>
        </w:tabs>
      </w:pPr>
      <w:r>
        <w:rPr/>
        <w:t xml:space="preserve">5. Health &amp; Long-Term Care</w:t>
      </w:r>
      <w:r>
        <w:tab/>
      </w:r>
      <w:r>
        <w:rPr/>
        <w:t xml:space="preserve">11</w:t>
      </w:r>
    </w:p>
    <w:p>
      <w:pPr>
        <w:spacing w:before="0" w:after="0" w:line="240" w:lineRule="exact"/>
        <w:ind w:left="0" w:right="0" w:firstLine="576"/>
        <w:jc w:val="left"/>
        <w:tabs>
          <w:tab w:val="right" w:leader="dot" w:pos="9936"/>
        </w:tabs>
      </w:pPr>
      <w:r>
        <w:rPr/>
        <w:t xml:space="preserve">6. Higher Education &amp; Workforce Development</w:t>
      </w:r>
      <w:r>
        <w:tab/>
      </w:r>
      <w:r>
        <w:t>((</w:t>
      </w:r>
      <w:r>
        <w:rPr>
          <w:strike/>
        </w:rPr>
        <w:t xml:space="preserve">7</w:t>
      </w:r>
      <w:r>
        <w:t>))</w:t>
      </w:r>
      <w:r>
        <w:rPr/>
        <w:t xml:space="preserve"> </w:t>
      </w:r>
      <w:r>
        <w:rPr>
          <w:u w:val="single"/>
        </w:rPr>
        <w:t xml:space="preserve">5</w:t>
      </w:r>
    </w:p>
    <w:p>
      <w:pPr>
        <w:spacing w:before="0" w:after="0" w:line="240" w:lineRule="exact"/>
        <w:ind w:left="0" w:right="0" w:firstLine="576"/>
        <w:jc w:val="left"/>
        <w:tabs>
          <w:tab w:val="right" w:leader="dot" w:pos="9936"/>
        </w:tabs>
      </w:pPr>
      <w:r>
        <w:rPr/>
        <w:t xml:space="preserve">7. Housing Stability &amp; Affordability</w:t>
      </w:r>
      <w:r>
        <w:tab/>
      </w:r>
      <w:r>
        <w:rPr/>
        <w:t xml:space="preserve">7</w:t>
      </w:r>
    </w:p>
    <w:p>
      <w:pPr>
        <w:spacing w:before="0" w:after="0" w:line="240" w:lineRule="exact"/>
        <w:ind w:left="0" w:right="0" w:firstLine="576"/>
        <w:jc w:val="left"/>
        <w:tabs>
          <w:tab w:val="right" w:leader="dot" w:pos="9936"/>
        </w:tabs>
      </w:pPr>
      <w:r>
        <w:rPr/>
        <w:t xml:space="preserve">8. Human Services, Reentry &amp; Rehabilitation</w:t>
      </w:r>
      <w:r>
        <w:tab/>
      </w:r>
      <w:r>
        <w:rPr/>
        <w:t xml:space="preserve">7</w:t>
      </w:r>
    </w:p>
    <w:p>
      <w:pPr>
        <w:spacing w:before="0" w:after="0" w:line="240" w:lineRule="exact"/>
        <w:ind w:left="0" w:right="0" w:firstLine="576"/>
        <w:jc w:val="left"/>
        <w:tabs>
          <w:tab w:val="right" w:leader="dot" w:pos="9936"/>
        </w:tabs>
      </w:pPr>
      <w:r>
        <w:rPr/>
        <w:t xml:space="preserve">9. Labor &amp; Commerce</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10. Law &amp; Justice</w:t>
      </w:r>
      <w:r>
        <w:tab/>
      </w:r>
      <w:r>
        <w:rPr/>
        <w:t xml:space="preserve">7</w:t>
      </w:r>
    </w:p>
    <w:p>
      <w:pPr>
        <w:spacing w:before="0" w:after="0" w:line="240" w:lineRule="exact"/>
        <w:ind w:left="0" w:right="0" w:firstLine="576"/>
        <w:jc w:val="left"/>
        <w:tabs>
          <w:tab w:val="right" w:leader="dot" w:pos="9936"/>
        </w:tabs>
      </w:pPr>
      <w:r>
        <w:rPr/>
        <w:t xml:space="preserve">11. Local Government</w:t>
      </w:r>
      <w:r>
        <w:tab/>
      </w:r>
      <w:r>
        <w:rPr/>
        <w:t xml:space="preserve">5</w:t>
      </w:r>
    </w:p>
    <w:p>
      <w:pPr>
        <w:spacing w:before="0" w:after="0" w:line="240" w:lineRule="exact"/>
        <w:ind w:left="0" w:right="0" w:firstLine="576"/>
        <w:jc w:val="left"/>
        <w:tabs>
          <w:tab w:val="right" w:leader="dot" w:pos="9936"/>
        </w:tabs>
      </w:pPr>
      <w:r>
        <w:rPr/>
        <w:t xml:space="preserve">12. Rules</w:t>
      </w:r>
      <w:r>
        <w:tab/>
      </w:r>
      <w:r>
        <w:rPr/>
        <w:t xml:space="preserve"> 16 (plus the Lieutenant Governor)</w:t>
      </w:r>
    </w:p>
    <w:p>
      <w:pPr>
        <w:spacing w:before="0" w:after="0" w:line="240" w:lineRule="exact"/>
        <w:ind w:left="0" w:right="0" w:firstLine="576"/>
        <w:jc w:val="left"/>
        <w:tabs>
          <w:tab w:val="right" w:leader="dot" w:pos="9936"/>
        </w:tabs>
      </w:pPr>
      <w:r>
        <w:rPr/>
        <w:t xml:space="preserve">13. State Government, Tribal Relations &amp; Elections</w:t>
      </w:r>
      <w:r>
        <w:tab/>
      </w:r>
      <w:r>
        <w:rPr/>
        <w:t xml:space="preserve">7</w:t>
      </w:r>
    </w:p>
    <w:p>
      <w:pPr>
        <w:spacing w:before="0" w:after="0" w:line="240" w:lineRule="exact"/>
        <w:ind w:left="0" w:right="0" w:firstLine="576"/>
        <w:jc w:val="left"/>
        <w:tabs>
          <w:tab w:val="right" w:leader="dot" w:pos="9936"/>
        </w:tabs>
      </w:pPr>
      <w:r>
        <w:rPr/>
        <w:t xml:space="preserve">14. Transportation</w:t>
      </w:r>
      <w:r>
        <w:tab/>
      </w:r>
      <w:r>
        <w:rPr/>
        <w:t xml:space="preserve">15</w:t>
      </w:r>
    </w:p>
    <w:p>
      <w:pPr>
        <w:spacing w:before="0" w:after="0" w:line="240" w:lineRule="exact"/>
        <w:ind w:left="0" w:right="0" w:firstLine="576"/>
        <w:jc w:val="left"/>
        <w:tabs>
          <w:tab w:val="right" w:leader="dot" w:pos="9936"/>
        </w:tabs>
      </w:pPr>
      <w:r>
        <w:rPr/>
        <w:t xml:space="preserve">15. Ways &amp; Means</w:t>
      </w:r>
      <w:r>
        <w:tab/>
      </w:r>
      <w:r>
        <w:rPr/>
        <w:t xml:space="preserve">24</w:t>
      </w:r>
    </w:p>
    <w:p>
      <w:pPr>
        <w:spacing w:before="120" w:after="0" w:line="240" w:lineRule="exact"/>
        <w:ind w:left="0" w:right="0" w:firstLine="576"/>
        <w:jc w:val="left"/>
      </w:pPr>
      <w:r>
        <w:rPr/>
        <w:t xml:space="preserve">The following constitutes a standing subcommittee of the senate:</w:t>
      </w:r>
    </w:p>
    <w:p>
      <w:pPr>
        <w:spacing w:before="0" w:after="0" w:line="240" w:lineRule="exact"/>
        <w:ind w:left="0" w:right="0" w:firstLine="576"/>
        <w:jc w:val="left"/>
        <w:tabs>
          <w:tab w:val="right" w:leader="dot" w:pos="9936"/>
        </w:tabs>
      </w:pPr>
      <w:r>
        <w:rPr/>
        <w:t xml:space="preserve">1. Behavioral Health Subcommittee to Health &amp; Long-Term Care</w:t>
      </w:r>
      <w:r>
        <w:tab/>
      </w:r>
      <w:r>
        <w:rPr/>
        <w:t xml:space="preserve">5"</w:t>
      </w:r>
    </w:p>
    <w:p>
      <w:pPr>
        <w:spacing w:before="120" w:after="0" w:line="240"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w:t>
      </w:r>
      <w:r>
        <w:rPr/>
        <w:t xml:space="preserve"> </w:t>
      </w:r>
      <w:r>
        <w:rPr>
          <w:u w:val="single"/>
        </w:rPr>
        <w:t xml:space="preserve">or within three days of sine die</w:t>
      </w:r>
      <w:r>
        <w:rPr/>
        <w:t xml:space="preserve">, this rule may be suspended by a majority vote </w:t>
      </w:r>
      <w:r>
        <w:rPr>
          <w:u w:val="single"/>
        </w:rPr>
        <w:t xml:space="preserve">of those present</w:t>
      </w:r>
      <w:r>
        <w:rPr/>
        <w:t xml:space="preserve">.</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240" w:lineRule="exact"/>
        <w:ind w:left="0" w:right="0" w:firstLine="576"/>
        <w:jc w:val="left"/>
      </w:pPr>
      <w:r>
        <w:rPr/>
        <w:t xml:space="preserve">13. When a standing committee has a standing subcommittee established under Senate Rule 41, the chair of the committee may rerefer any measures referred to the committee to the standing subcommittee with the consent of the ranking member of the committee or, in the event of a dispute between the chair and ranking member, referral may occur with a majority vote of the committee."</w:t>
      </w:r>
    </w:p>
    <w:p>
      <w:pPr>
        <w:spacing w:before="120" w:after="0" w:line="240" w:lineRule="exact"/>
        <w:ind w:left="0" w:right="0" w:firstLine="576"/>
        <w:jc w:val="left"/>
      </w:pPr>
      <w:r>
        <w:rPr/>
        <w:t xml:space="preserve">"</w:t>
      </w:r>
      <w:r>
        <w:rPr>
          <w:b/>
        </w:rPr>
        <w:t xml:space="preserve">Rule 49.</w:t>
      </w:r>
      <w:r>
        <w:rPr/>
        <w:t xml:space="preserve"> All bills reported by a committee to the senate shall then be referred to the committee on rules for second reading without action on the report unless otherwise ordered by the senate. (See also Senate Rules 63 and 64.) </w:t>
      </w:r>
      <w:r>
        <w:rPr>
          <w:u w:val="single"/>
        </w:rPr>
        <w:t xml:space="preserve">A bill may not be referred to the committee on rules for second reading unless a standing committee has held a public hearing on the bill.</w:t>
      </w:r>
      <w:r>
        <w:rPr/>
        <w:t xml:space="preserv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13,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369bfff674783" /></Relationships>
</file>