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ceedc702a47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1041</w:t>
      </w:r>
    </w:p>
    <w:p>
      <w:pPr>
        <w:jc w:val="center"/>
        <w:spacing w:before="480" w:after="0" w:line="240"/>
      </w:pPr>
      <w:r>
        <w:t xml:space="preserve">Chapter </w:t>
      </w:r>
      <w:r>
        <w:rPr/>
        <w:t xml:space="preserve">331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CERTIFICATES OF DISCHARGE AND CONVICTION RECORD VACATION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Hansen, Irwin, Ryu, Jinkins, Wylie, Santos, and Caldier)</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and 9.94A.030;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w:t>
      </w:r>
      <w:r>
        <w:rPr>
          <w:u w:val="single"/>
        </w:rPr>
        <w:t xml:space="preserve">promptly</w:t>
      </w:r>
      <w:r>
        <w:rPr/>
        <w:t xml:space="preserve"> notify the sentencing court</w:t>
      </w:r>
      <w:r>
        <w:t>((</w:t>
      </w:r>
      <w:r>
        <w:rPr>
          <w:strike/>
        </w:rPr>
        <w:t xml:space="preserve">, including the notice from the department, which</w:t>
      </w:r>
      <w:r>
        <w:t>))</w:t>
      </w:r>
      <w:r>
        <w:rPr>
          <w:u w:val="single"/>
        </w:rPr>
        <w:t xml:space="preserve">. Upon receipt of the notice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petition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w:t>
      </w:r>
      <w:r>
        <w:rPr>
          <w:u w:val="single"/>
        </w:rPr>
        <w:t xml:space="preserve">(a) Except as otherwise provided, o</w:t>
      </w:r>
      <w:r>
        <w:rP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r>
        <w:rPr>
          <w:u w:val="single"/>
        </w:rPr>
        <w:t xml:space="preserve">, and nothing in this section affects the requirements for restoring a right to possess a firearm under RCW 9.41.040</w:t>
      </w:r>
      <w:r>
        <w:rPr/>
        <w:t xml:space="preserve">.</w:t>
      </w:r>
    </w:p>
    <w:p>
      <w:pPr>
        <w:spacing w:before="0" w:after="0" w:line="408" w:lineRule="exact"/>
        <w:ind w:left="0" w:right="0" w:firstLine="576"/>
        <w:jc w:val="left"/>
      </w:pPr>
      <w:r>
        <w:rPr>
          <w:u w:val="single"/>
        </w:rPr>
        <w:t xml:space="preserve">(b) A conviction vacated on or after the effective date of this section qualifies as a prior conviction for the purpose of charging a present recidivist offense occurring on or after the effective date of this section,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w:t>
      </w:r>
      <w:r>
        <w:rPr>
          <w:u w:val="single"/>
        </w:rPr>
        <w:t xml:space="preserve">or tribal</w:t>
      </w:r>
      <w:r>
        <w:rPr/>
        <w:t xml:space="preserve"> court</w:t>
      </w:r>
      <w:r>
        <w:rPr>
          <w:u w:val="single"/>
        </w:rPr>
        <w:t xml:space="preserve">, at the time of application</w:t>
      </w:r>
      <w:r>
        <w:rPr/>
        <w:t xml:space="preserve">;</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r>
        <w:rPr>
          <w:u w:val="single"/>
        </w:rPr>
        <w:t xml:space="preserve">, except for failure to register as a sex offender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w:t>
      </w:r>
      <w:r>
        <w:t>((</w:t>
      </w:r>
      <w:r>
        <w:rPr>
          <w:strike/>
        </w:rPr>
        <w:t xml:space="preserve">previously had a conviction for domestic violence</w:t>
      </w:r>
      <w:r>
        <w:t>))</w:t>
      </w:r>
      <w:r>
        <w:rPr/>
        <w:t xml:space="preserve"> </w:t>
      </w:r>
      <w:r>
        <w:rPr>
          <w:u w:val="single"/>
        </w:rPr>
        <w:t xml:space="preserve">two or more domestic violence convictions stemming from different incidents</w:t>
      </w:r>
      <w:r>
        <w:rPr/>
        <w:t xml:space="preserv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w:t>
      </w:r>
      <w:r>
        <w:rPr>
          <w:u w:val="single"/>
        </w:rPr>
        <w:t xml:space="preserve">or tribal</w:t>
      </w:r>
      <w:r>
        <w:rPr/>
        <w:t xml:space="preserve">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w:t>
      </w:r>
      <w:r>
        <w:rPr>
          <w:u w:val="single"/>
        </w:rPr>
        <w:t xml:space="preserve">Except as provided in (c) of this subsection, o</w:t>
      </w:r>
      <w:r>
        <w:rPr/>
        <w:t xml:space="preserve">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However, nothing in this section affects the requirements for restoring a right to possess a firearm under RCW 9.41.040.</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strike/>
        </w:rPr>
        <w:t xml:space="preserve">(7)</w:t>
      </w:r>
      <w:r>
        <w:t>))</w:t>
      </w:r>
      <w:r>
        <w:rPr/>
        <w:t xml:space="preserve"> </w:t>
      </w:r>
      <w:r>
        <w:rPr>
          <w:u w:val="single"/>
        </w:rPr>
        <w:t xml:space="preserve">(c) A conviction vacated on or after the effective date of this section qualifies as a prior conviction for the purpose of charging a present recidivist offense as defined in RCW 9.94A.030 occurring on or after the effective date of this section.</w:t>
      </w:r>
    </w:p>
    <w:p>
      <w:pPr>
        <w:spacing w:before="0" w:after="0" w:line="408" w:lineRule="exact"/>
        <w:ind w:left="0" w:right="0" w:firstLine="576"/>
        <w:jc w:val="left"/>
      </w:pPr>
      <w:r>
        <w:rPr>
          <w:u w:val="single"/>
        </w:rPr>
        <w:t xml:space="preserve">(6)</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w:t>
      </w:r>
      <w:r>
        <w:rPr>
          <w:u w:val="single"/>
        </w:rPr>
        <w:t xml:space="preserve">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u w:val="single"/>
        </w:rPr>
        <w:t xml:space="preserve">(a) Assault in the fourth degree where domestic violence is pleaded and proven, RCW 9A.36.041(3);</w:t>
      </w:r>
    </w:p>
    <w:p>
      <w:pPr>
        <w:spacing w:before="0" w:after="0" w:line="408" w:lineRule="exact"/>
        <w:ind w:left="0" w:right="0" w:firstLine="576"/>
        <w:jc w:val="left"/>
      </w:pPr>
      <w:r>
        <w:rPr>
          <w:u w:val="single"/>
        </w:rPr>
        <w:t xml:space="preserve">(b) Cyberstalking, RCW 9.61.260(3)(a);</w:t>
      </w:r>
    </w:p>
    <w:p>
      <w:pPr>
        <w:spacing w:before="0" w:after="0" w:line="408" w:lineRule="exact"/>
        <w:ind w:left="0" w:right="0" w:firstLine="576"/>
        <w:jc w:val="left"/>
      </w:pPr>
      <w:r>
        <w:rPr>
          <w:u w:val="single"/>
        </w:rPr>
        <w:t xml:space="preserve">(c) Harassment, RCW 9A.46.020(2)(b)(i);</w:t>
      </w:r>
    </w:p>
    <w:p>
      <w:pPr>
        <w:spacing w:before="0" w:after="0" w:line="408" w:lineRule="exact"/>
        <w:ind w:left="0" w:right="0" w:firstLine="576"/>
        <w:jc w:val="left"/>
      </w:pPr>
      <w:r>
        <w:rPr>
          <w:u w:val="single"/>
        </w:rPr>
        <w:t xml:space="preserve">(d) Indecent exposure, RCW 9A.88.010(2)(c);</w:t>
      </w:r>
    </w:p>
    <w:p>
      <w:pPr>
        <w:spacing w:before="0" w:after="0" w:line="408" w:lineRule="exact"/>
        <w:ind w:left="0" w:right="0" w:firstLine="576"/>
        <w:jc w:val="left"/>
      </w:pPr>
      <w:r>
        <w:rPr>
          <w:u w:val="single"/>
        </w:rPr>
        <w:t xml:space="preserve">(e) Stalking, RCW 9A.46.110(5)(b) (i) and (iii);</w:t>
      </w:r>
    </w:p>
    <w:p>
      <w:pPr>
        <w:spacing w:before="0" w:after="0" w:line="408" w:lineRule="exact"/>
        <w:ind w:left="0" w:right="0" w:firstLine="576"/>
        <w:jc w:val="left"/>
      </w:pPr>
      <w:r>
        <w:rPr>
          <w:u w:val="single"/>
        </w:rPr>
        <w:t xml:space="preserve">(f) Telephone harassment, RCW 9.61.230(2)(a); and</w:t>
      </w:r>
    </w:p>
    <w:p>
      <w:pPr>
        <w:spacing w:before="0" w:after="0" w:line="408" w:lineRule="exact"/>
        <w:ind w:left="0" w:right="0" w:firstLine="576"/>
        <w:jc w:val="left"/>
      </w:pPr>
      <w:r>
        <w:rPr>
          <w:u w:val="single"/>
        </w:rPr>
        <w:t xml:space="preserve">(g) Violation of a no-contact or protection order, RCW 26.50.110(5).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1bf1a740ffa44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3e389bdc145c5" /><Relationship Type="http://schemas.openxmlformats.org/officeDocument/2006/relationships/footer" Target="/word/footer1.xml" Id="Rb1bf1a740ffa4491" /></Relationships>
</file>