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8d2323715946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1075</w:t>
      </w:r>
    </w:p>
    <w:p>
      <w:pPr>
        <w:jc w:val="center"/>
        <w:spacing w:before="480" w:after="0" w:line="240"/>
      </w:pPr>
      <w:r>
        <w:t xml:space="preserve">Chapter </w:t>
      </w:r>
      <w:r>
        <w:rPr/>
        <w:t xml:space="preserve">253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INSURANCE--CHANGE OF INSURER--OFFSET OF EXPENSES OF GROUP POLICYHOLDER</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Consumer Protection &amp; Business (originally sponsored by Representatives Kirby and Vick)</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competitive group insurance; amending RCW 48.30.140 and 48.30.150;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(8) Subsection (7) of this section does not apply to small groups as defined in RCW 48.43.005.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 This exception to subsection (1) of this section does not apply to "medicare supplemental insurance" or "medicare supplemental insurance policies" as defined in chapter 48.66 RCW.</w:t>
      </w:r>
    </w:p>
    <w:p>
      <w:pPr>
        <w:spacing w:before="0" w:after="0" w:line="408" w:lineRule="exact"/>
        <w:ind w:left="0" w:right="0" w:firstLine="576"/>
        <w:jc w:val="left"/>
      </w:pPr>
      <w:r>
        <w:rPr>
          <w:u w:val="single"/>
        </w:rPr>
        <w:t xml:space="preserve">(5) Subsection (4) of this section does not apply to small groups as defined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824f5bc825be48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4764ab1f34c01" /><Relationship Type="http://schemas.openxmlformats.org/officeDocument/2006/relationships/footer" Target="/word/footer1.xml" Id="R824f5bc825be481a" /></Relationships>
</file>