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9b046908d41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1102</w:t>
      </w:r>
    </w:p>
    <w:p>
      <w:pPr>
        <w:jc w:val="center"/>
        <w:spacing w:before="480" w:after="0" w:line="240"/>
      </w:pPr>
      <w:r>
        <w:t xml:space="preserve">Chapter </w:t>
      </w:r>
      <w:r>
        <w:rPr/>
        <w:t xml:space="preserve">413</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CAPITAL BUDGET</w:t>
      </w:r>
    </w:p>
    <w:p>
      <w:pPr>
        <w:spacing w:before="720" w:after="240" w:line="240" w:lineRule="exact"/>
        <w:ind w:left="0" w:right="0" w:firstLine="0"/>
        <w:jc w:val="center"/>
      </w:pPr>
      <w:r>
        <w:t xml:space="preserve">EFFECTIVE DATE: </w:t>
      </w:r>
      <w:r>
        <w:rPr/>
        <w:t xml:space="preserve">May 21,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10:10 AM with the exception of sections 1029(5), 1043(3), 1082(2), 1083(2), 1091(2), 3102, and 7019,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 by request of Office of Financial Management)</w:t>
      </w:r>
    </w:p>
    <w:p/>
    <w:p>
      <w:r>
        <w:rPr>
          <w:t xml:space="preserve">READ FIRST TIME 04/02/19.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28B.15.210, 28B.15.310, 28B.20.725, 28B.30.750, 28B.35.370, 28B.50.360, 28B.77.070, 43.63A.125, 43.83.020, 43.88D.010, and 90.94.090; amending 2018 c 2 ss 1010, 1019, 1013, 1014, 1028, 2019, 3024, 3093, 3109, 3105, 4002, and 5014, 2018 c 298 ss 1004, 1007, 1002, 1013, 1016, 2004, 2005, 2008, 2018, 5040, and 7010, and 2017 3rd sp.s. c 4 ss 1052, 3056, 3136, and 5058 (uncodified); reenacting and amending RCW 43.155.050 and 70.148.020;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following conditions and limitations: The reappropriation is subject to the provisions of section 1003, chapter 2, Laws of 2018.</w:t>
      </w:r>
    </w:p>
    <w:p>
      <w:pPr>
        <w:spacing w:before="0" w:after="0" w:line="408" w:lineRule="exact"/>
        <w:ind w:left="0" w:right="0" w:firstLine="576"/>
        <w:jc w:val="left"/>
      </w:pPr>
      <w:r>
        <w:rPr/>
        <w:t xml:space="preserve">(2) The secretary of state must enter into a financial contract for up to $103,143,000.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$14,937,000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$3,532,000</w:t>
      </w:r>
    </w:p>
    <w:p>
      <w:pPr>
        <w:tabs>
          <w:tab w:val="right" w:leader="dot" w:pos="9936"/>
        </w:tabs>
        <w:ind w:left="0" w:right="0" w:firstLine="1440"/>
      </w:pPr>
      <w:r>
        <w:rPr/>
        <w:t xml:space="preserve">Subtotal Reappropriation</w:t>
      </w:r>
      <w:r>
        <w:tab/>
      </w:r>
      <w:r>
        <w:rPr/>
        <w:t xml:space="preserve">$18,469,000</w:t>
      </w:r>
    </w:p>
    <w:p>
      <w:pPr>
        <w:spacing w:before="120" w:after="0" w:line="408" w:lineRule="exact"/>
        <w:ind w:left="0" w:right="0" w:firstLine="576"/>
        <w:jc w:val="left"/>
        <w:tabs>
          <w:tab w:val="right" w:leader="dot" w:pos="9936"/>
        </w:tabs>
      </w:pPr>
      <w:r>
        <w:rPr/>
        <w:t xml:space="preserve">Prior Biennia (Expenditures)</w:t>
      </w:r>
      <w:r>
        <w:tab/>
      </w:r>
      <w:r>
        <w:rPr/>
        <w:t xml:space="preserve">$21,931,000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$19,184,000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rPr/>
        <w:t xml:space="preserve">$10,684,000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$73,139,000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$97,817,000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6001 of this act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$65,117,000</w:t>
      </w:r>
    </w:p>
    <w:p>
      <w:pPr>
        <w:spacing w:before="120" w:after="0" w:line="408" w:lineRule="exact"/>
        <w:ind w:left="0" w:right="0" w:firstLine="576"/>
        <w:jc w:val="left"/>
        <w:tabs>
          <w:tab w:val="right" w:leader="dot" w:pos="9936"/>
        </w:tabs>
      </w:pPr>
      <w:r>
        <w:rPr/>
        <w:t xml:space="preserve">Prior Biennia (Expenditures)</w:t>
      </w:r>
      <w:r>
        <w:tab/>
      </w:r>
      <w:r>
        <w:rPr/>
        <w:t xml:space="preserve">$12,103,000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$4,934,000</w:t>
      </w:r>
    </w:p>
    <w:p>
      <w:pPr>
        <w:tabs>
          <w:tab w:val="right" w:leader="dot" w:pos="9936"/>
        </w:tabs>
        <w:ind w:left="0" w:right="0" w:firstLine="1440"/>
      </w:pPr>
      <w:r>
        <w:rPr/>
        <w:t xml:space="preserve">Subtotal Reappropriation</w:t>
      </w:r>
      <w:r>
        <w:tab/>
      </w:r>
      <w:r>
        <w:rPr/>
        <w:t xml:space="preserve">$16,752,000</w:t>
      </w:r>
    </w:p>
    <w:p>
      <w:pPr>
        <w:spacing w:before="120" w:after="0" w:line="408" w:lineRule="exact"/>
        <w:ind w:left="0" w:right="0" w:firstLine="576"/>
        <w:jc w:val="left"/>
        <w:tabs>
          <w:tab w:val="right" w:leader="dot" w:pos="9936"/>
        </w:tabs>
      </w:pPr>
      <w:r>
        <w:rPr/>
        <w:t xml:space="preserve">Prior Biennia (Expenditures)</w:t>
      </w:r>
      <w:r>
        <w:tab/>
      </w:r>
      <w:r>
        <w:rPr/>
        <w:t xml:space="preserve">$6,748,000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$7,934,000</w:t>
      </w:r>
    </w:p>
    <w:p>
      <w:pPr>
        <w:tabs>
          <w:tab w:val="right" w:leader="dot" w:pos="9936"/>
        </w:tabs>
        <w:ind w:left="0" w:right="0" w:firstLine="1440"/>
      </w:pPr>
      <w:r>
        <w:rPr/>
        <w:t xml:space="preserve">Subtotal Reappropriation</w:t>
      </w:r>
      <w:r>
        <w:tab/>
      </w:r>
      <w:r>
        <w:rPr/>
        <w:t xml:space="preserve">$45,471,000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$5,162,000</w:t>
      </w:r>
    </w:p>
    <w:p>
      <w:pPr>
        <w:tabs>
          <w:tab w:val="right" w:leader="dot" w:pos="9936"/>
        </w:tabs>
        <w:ind w:left="0" w:right="0" w:firstLine="1440"/>
      </w:pPr>
      <w:r>
        <w:rPr/>
        <w:t xml:space="preserve">Subtotal Reappropriation</w:t>
      </w:r>
      <w:r>
        <w:tab/>
      </w:r>
      <w:r>
        <w:rPr/>
        <w:t xml:space="preserve">$10,640,000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$91,142,000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$5,000,000 is for the public works board's emergency loan program.</w:t>
      </w:r>
    </w:p>
    <w:p>
      <w:pPr>
        <w:spacing w:before="0" w:after="0" w:line="408" w:lineRule="exact"/>
        <w:ind w:left="0" w:right="0" w:firstLine="576"/>
        <w:jc w:val="left"/>
      </w:pPr>
      <w:r>
        <w:rPr/>
        <w:t xml:space="preserve">(2)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$45,950,000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behavioral or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$45,950,000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$1,500,000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rPr/>
        <w:t xml:space="preserve">NorthHaven Affordable Senior Housing Campus</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rPr/>
        <w:t xml:space="preserve">Seattle Indian Health Board - Low Income Housing</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b/>
          <w:i/>
        </w:rPr>
        <w:t xml:space="preserve">(5) The legislature recognizes projects serving households at or below 30 percent of area median income may not generate sufficient income to support long-term operations and services. In evaluating loan terms for projects funded by the housing trust fund program, particularly projects serving at or below 30 percent area median income households, the department must prioritize loan deferment to maintain long-term viability of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$1,422,000 of the amounts in this section is provided solely for a grant for the port Hadlock wastewater facility project.</w:t>
      </w:r>
    </w:p>
    <w:p>
      <w:pPr>
        <w:spacing w:before="0" w:after="0" w:line="408" w:lineRule="exact"/>
        <w:ind w:left="0" w:right="0" w:firstLine="576"/>
        <w:jc w:val="left"/>
      </w:pPr>
      <w:r>
        <w:rPr/>
        <w:t xml:space="preserve">(3) $1,400,000 of the amounts in this section is provided solely for a grant for the Eatonville water treatment plant project.</w:t>
      </w:r>
    </w:p>
    <w:p>
      <w:pPr>
        <w:spacing w:before="0" w:after="0" w:line="408" w:lineRule="exact"/>
        <w:ind w:left="0" w:right="0" w:firstLine="576"/>
        <w:jc w:val="left"/>
      </w:pPr>
      <w:r>
        <w:rPr/>
        <w:t xml:space="preserve">(4)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rPr/>
        <w:t xml:space="preserve">(5) $4,000,000 of the amounts in this section is provided solely for a grant for the Wenatchi landing sewer extension – phase 1.</w:t>
      </w:r>
    </w:p>
    <w:p>
      <w:pPr>
        <w:spacing w:before="0" w:after="0" w:line="408" w:lineRule="exact"/>
        <w:ind w:left="0" w:right="0" w:firstLine="576"/>
        <w:jc w:val="left"/>
      </w:pPr>
      <w:r>
        <w:rPr/>
        <w:t xml:space="preserve">(6)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and Girls Clubs of Benton and Franklin 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Seattle-Camp Orkila</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Seattle-Camp Colman</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Port of Skagit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$392,000</w:t>
      </w:r>
    </w:p>
    <w:p>
      <w:pPr>
        <w:spacing w:before="0" w:after="0" w:line="408" w:lineRule="exact"/>
        <w:ind w:left="0" w:right="0" w:firstLine="576"/>
        <w:jc w:val="left"/>
        <w:tabs>
          <w:tab w:val="right" w:leader="dot" w:pos="9936"/>
        </w:tabs>
      </w:pPr>
      <w:r>
        <w:rPr/>
        <w:t xml:space="preserve">Coastal Community Action Program</w:t>
      </w:r>
      <w:r>
        <w:tab/>
      </w:r>
      <w:r>
        <w:rPr/>
        <w:t xml:space="preserve">$3,120,000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$118,000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$271,000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0" w:after="0" w:line="408" w:lineRule="exact"/>
        <w:ind w:left="0" w:right="0" w:firstLine="576"/>
        <w:jc w:val="left"/>
        <w:tabs>
          <w:tab w:val="right" w:leader="dot" w:pos="9936"/>
        </w:tabs>
      </w:pPr>
      <w:r>
        <w:rPr/>
        <w:t xml:space="preserve">YMCA of Greater Seattle</w:t>
      </w:r>
      <w:r>
        <w:tab/>
      </w:r>
      <w:r>
        <w:rPr/>
        <w:t xml:space="preserve">$2,000,000</w:t>
      </w:r>
    </w:p>
    <w:p>
      <w:pPr>
        <w:spacing w:before="0" w:after="0" w:line="408" w:lineRule="exact"/>
        <w:ind w:left="0" w:right="0" w:firstLine="576"/>
        <w:jc w:val="left"/>
        <w:tabs>
          <w:tab w:val="right" w:leader="dot" w:pos="9936"/>
        </w:tabs>
      </w:pPr>
      <w:r>
        <w:rPr/>
        <w:t xml:space="preserve">South Sound YMCA</w:t>
      </w:r>
      <w:r>
        <w:tab/>
      </w:r>
      <w:r>
        <w:rPr/>
        <w:t xml:space="preserve">$3,500,000</w:t>
      </w:r>
    </w:p>
    <w:p>
      <w:pPr>
        <w:spacing w:before="0" w:after="0" w:line="408" w:lineRule="exact"/>
        <w:ind w:left="0" w:right="0" w:firstLine="576"/>
        <w:jc w:val="left"/>
        <w:tabs>
          <w:tab w:val="right" w:leader="dot" w:pos="9936"/>
        </w:tabs>
      </w:pPr>
      <w:r>
        <w:rPr/>
        <w:t xml:space="preserve">Downtown Emergency Service Center (DESC)</w:t>
      </w:r>
      <w:r>
        <w:tab/>
      </w:r>
      <w:r>
        <w:rPr/>
        <w:t xml:space="preserve">$2,000,000</w:t>
      </w:r>
    </w:p>
    <w:p>
      <w:pPr>
        <w:spacing w:before="0" w:after="0" w:line="408" w:lineRule="exact"/>
        <w:ind w:left="0" w:right="0" w:firstLine="576"/>
        <w:jc w:val="left"/>
        <w:tabs>
          <w:tab w:val="right" w:leader="dot" w:pos="9936"/>
        </w:tabs>
      </w:pPr>
      <w:r>
        <w:rPr/>
        <w:t xml:space="preserve">Friends of Youth</w:t>
      </w:r>
      <w:r>
        <w:tab/>
      </w:r>
      <w:r>
        <w:rPr/>
        <w:t xml:space="preserve">$210,000</w:t>
      </w:r>
    </w:p>
    <w:p>
      <w:pPr>
        <w:spacing w:before="0" w:after="0" w:line="408" w:lineRule="exact"/>
        <w:ind w:left="0" w:right="0" w:firstLine="576"/>
        <w:jc w:val="left"/>
        <w:tabs>
          <w:tab w:val="right" w:leader="dot" w:pos="9936"/>
        </w:tabs>
      </w:pPr>
      <w:r>
        <w:rPr/>
        <w:t xml:space="preserve">Holly Ridge Center, INC</w:t>
      </w:r>
      <w:r>
        <w:tab/>
      </w:r>
      <w:r>
        <w:rPr/>
        <w:t xml:space="preserve">$600,000</w:t>
      </w:r>
    </w:p>
    <w:p>
      <w:pPr>
        <w:spacing w:before="0" w:after="0" w:line="408" w:lineRule="exact"/>
        <w:ind w:left="0" w:right="0" w:firstLine="576"/>
        <w:jc w:val="left"/>
        <w:tabs>
          <w:tab w:val="right" w:leader="dot" w:pos="9936"/>
        </w:tabs>
      </w:pPr>
      <w:r>
        <w:rPr/>
        <w:t xml:space="preserve">Partners with Families &amp; Children: Spokane</w:t>
      </w:r>
      <w:r>
        <w:tab/>
      </w:r>
      <w:r>
        <w:rPr/>
        <w:t xml:space="preserve">$500,000</w:t>
      </w:r>
    </w:p>
    <w:p>
      <w:pPr>
        <w:spacing w:before="0" w:after="0" w:line="408" w:lineRule="exact"/>
        <w:ind w:left="0" w:right="0" w:firstLine="576"/>
        <w:jc w:val="left"/>
      </w:pPr>
      <w:r>
        <w:rPr/>
        <w:t xml:space="preserve">Port Gamble S'Klallam Tribe Health and Wellness</w:t>
      </w:r>
    </w:p>
    <w:p>
      <w:pPr>
        <w:spacing w:before="0" w:after="0" w:line="408" w:lineRule="exact"/>
        <w:ind w:left="0" w:right="0" w:firstLine="1152"/>
        <w:jc w:val="left"/>
        <w:tabs>
          <w:tab w:val="right" w:leader="dot" w:pos="9936"/>
        </w:tabs>
      </w:pPr>
      <w:r>
        <w:rPr/>
        <w:t xml:space="preserve">Center</w:t>
      </w:r>
      <w:r>
        <w:tab/>
      </w:r>
      <w:r>
        <w:rPr/>
        <w:t xml:space="preserve">$2,000,000</w:t>
      </w:r>
    </w:p>
    <w:p>
      <w:pPr>
        <w:spacing w:before="0" w:after="0" w:line="408" w:lineRule="exact"/>
        <w:ind w:left="0" w:right="0" w:firstLine="576"/>
        <w:jc w:val="left"/>
        <w:tabs>
          <w:tab w:val="right" w:leader="dot" w:pos="9936"/>
        </w:tabs>
      </w:pPr>
      <w:r>
        <w:rPr/>
        <w:t xml:space="preserve">Willapa Center</w:t>
      </w:r>
      <w:r>
        <w:tab/>
      </w:r>
      <w:r>
        <w:rPr/>
        <w:t xml:space="preserve">$260,000</w:t>
      </w:r>
    </w:p>
    <w:p>
      <w:pPr>
        <w:spacing w:before="0" w:after="0" w:line="408" w:lineRule="exact"/>
        <w:ind w:left="0" w:right="0" w:firstLine="576"/>
        <w:jc w:val="left"/>
        <w:tabs>
          <w:tab w:val="right" w:leader="dot" w:pos="9936"/>
        </w:tabs>
      </w:pPr>
      <w:r>
        <w:rPr/>
        <w:t xml:space="preserve">Lynnwood Neighborhood Center</w:t>
      </w:r>
      <w:r>
        <w:tab/>
      </w:r>
      <w:r>
        <w:rPr/>
        <w:t xml:space="preserve">$2,000,000</w:t>
      </w:r>
    </w:p>
    <w:p>
      <w:pPr>
        <w:spacing w:before="0" w:after="0" w:line="408" w:lineRule="exact"/>
        <w:ind w:left="0" w:right="0" w:firstLine="576"/>
        <w:jc w:val="left"/>
        <w:tabs>
          <w:tab w:val="right" w:leader="dot" w:pos="9936"/>
        </w:tabs>
      </w:pPr>
      <w:r>
        <w:rPr/>
        <w:t xml:space="preserve">FareStart Capital Improvements</w:t>
      </w:r>
      <w:r>
        <w:tab/>
      </w:r>
      <w:r>
        <w:rPr/>
        <w:t xml:space="preserve">$200,000</w:t>
      </w:r>
    </w:p>
    <w:p>
      <w:pPr>
        <w:spacing w:before="0" w:after="0" w:line="408" w:lineRule="exact"/>
        <w:ind w:left="0" w:right="0" w:firstLine="576"/>
        <w:jc w:val="left"/>
        <w:tabs>
          <w:tab w:val="right" w:leader="dot" w:pos="9936"/>
        </w:tabs>
      </w:pPr>
      <w:r>
        <w:rPr/>
        <w:t xml:space="preserve">Ethiopian Community Village</w:t>
      </w:r>
      <w:r>
        <w:tab/>
      </w:r>
      <w:r>
        <w:rPr/>
        <w:t xml:space="preserve">$750,000</w:t>
      </w:r>
    </w:p>
    <w:p>
      <w:pPr>
        <w:spacing w:before="0" w:after="0" w:line="408" w:lineRule="exact"/>
        <w:ind w:left="0" w:right="0" w:firstLine="576"/>
        <w:jc w:val="left"/>
        <w:tabs>
          <w:tab w:val="right" w:leader="dot" w:pos="9936"/>
        </w:tabs>
      </w:pPr>
      <w:r>
        <w:rPr/>
        <w:t xml:space="preserve">Spokane Guilds' School Capital Campaign</w:t>
      </w:r>
      <w:r>
        <w:tab/>
      </w:r>
      <w:r>
        <w:rPr/>
        <w:t xml:space="preserve">$1,000,000</w:t>
      </w:r>
    </w:p>
    <w:p>
      <w:pPr>
        <w:spacing w:before="0" w:after="0" w:line="408" w:lineRule="exact"/>
        <w:ind w:left="0" w:right="0" w:firstLine="576"/>
        <w:jc w:val="left"/>
      </w:pPr>
      <w:r>
        <w:rPr/>
        <w:t xml:space="preserve">(4) The South Sound YMCA project funded in this section may pilot the use of the Washington sustainable school design protocol defined in RCW 39.35D.020 instead of meeting the LEED silver standard as specified in RCW 39.35D.030.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$6,100,000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tabs>
          <w:tab w:val="right" w:leader="dot" w:pos="9936"/>
        </w:tabs>
      </w:pPr>
      <w:r>
        <w:rPr/>
        <w:t xml:space="preserve">Centralia-Chehalis Early Learning Conversion Project</w:t>
      </w:r>
      <w:r>
        <w:tab/>
      </w:r>
      <w:r>
        <w:rPr/>
        <w:t xml:space="preserve">$2,000,000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$18,014,000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rPr/>
        <w:t xml:space="preserve">$28,500,000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$1,785,000 for fiscal year 2020 and $1,785,000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$3,573,000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$5,357,000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is provided solely for deposit into the revolving fund established in Second Substitute House Bill No. 1528 (recovery support services) for capital improvements. If the bill is not enacted by June 30, 2019, the amount provided in this subsection shall lapse.</w:t>
      </w:r>
    </w:p>
    <w:p>
      <w:pPr>
        <w:spacing w:before="0" w:after="0" w:line="408" w:lineRule="exact"/>
        <w:ind w:left="0" w:right="0" w:firstLine="576"/>
        <w:jc w:val="left"/>
      </w:pPr>
      <w:r>
        <w:rPr/>
        <w:t xml:space="preserve">(7) $49,543,000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rPr/>
        <w:t xml:space="preserve">Chelan SUD Design</w:t>
      </w:r>
      <w:r>
        <w:tab/>
      </w:r>
      <w:r>
        <w:rPr/>
        <w:t xml:space="preserve">$206,000</w:t>
      </w:r>
    </w:p>
    <w:p>
      <w:pPr>
        <w:spacing w:before="0" w:after="0" w:line="408" w:lineRule="exact"/>
        <w:ind w:left="0" w:right="0" w:firstLine="576"/>
        <w:jc w:val="left"/>
        <w:tabs>
          <w:tab w:val="right" w:leader="dot" w:pos="9936"/>
        </w:tabs>
      </w:pPr>
      <w:r>
        <w:rPr/>
        <w:t xml:space="preserve">Columbia Valley Community Health Remodel</w:t>
      </w:r>
      <w:r>
        <w:tab/>
      </w:r>
      <w:r>
        <w:rPr/>
        <w:t xml:space="preserve">$31,000</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rPr/>
        <w:t xml:space="preserve">Community Health of Snohomish County Edmonds</w:t>
      </w:r>
      <w:r>
        <w:tab/>
      </w:r>
      <w:r>
        <w:rPr/>
        <w:t xml:space="preserve">$1,000,000</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tabs>
          <w:tab w:val="right" w:leader="dot" w:pos="9936"/>
        </w:tabs>
      </w:pPr>
      <w:r>
        <w:rPr/>
        <w:t xml:space="preserve">Sea Mar Community Health Centers Seattle BH (Seattle)</w:t>
      </w:r>
      <w:r>
        <w:tab/>
      </w:r>
      <w:r>
        <w:rPr/>
        <w:t xml:space="preserve">$371,000</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t xml:space="preserve">(8)(a)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t xml:space="preserve">(9) $408,000 is provided solely for the department for the purpose of providing technical assistance for the community behavioral health grants.</w:t>
      </w:r>
    </w:p>
    <w:p>
      <w:pPr>
        <w:spacing w:before="0" w:after="0" w:line="408" w:lineRule="exact"/>
        <w:ind w:left="0" w:right="0" w:firstLine="576"/>
        <w:jc w:val="left"/>
      </w:pPr>
      <w:r>
        <w:rPr/>
        <w:t xml:space="preserve">(10) The department of commerce must notify all applicants that they may be required to have a construction review performed by the department of health.</w:t>
      </w:r>
    </w:p>
    <w:p>
      <w:pPr>
        <w:spacing w:before="0" w:after="0" w:line="408" w:lineRule="exact"/>
        <w:ind w:left="0" w:right="0" w:firstLine="576"/>
        <w:jc w:val="left"/>
      </w:pPr>
      <w:r>
        <w:rPr/>
        <w:t xml:space="preserve">(11)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(12)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rPr/>
        <w:t xml:space="preserve">(13)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t xml:space="preserve">$477,951,000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Battle Ground YMCA (Battle Ground)</w:t>
      </w:r>
      <w:r>
        <w:tab/>
      </w:r>
      <w:r>
        <w:rPr/>
        <w:t xml:space="preserve">$500,000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Dock and Marine Terminal (Seattle)</w:t>
      </w:r>
      <w:r>
        <w:tab/>
      </w:r>
      <w:r>
        <w:rPr/>
        <w:t xml:space="preserve">$750,000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Grand Connection Downtown Park Gateway (Bellevue)</w:t>
      </w:r>
      <w:r>
        <w:tab/>
      </w:r>
      <w:r>
        <w:rPr/>
        <w:t xml:space="preserve">$1,000,000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rPr/>
        <w:t xml:space="preserve">Ilwaco Boatyard Modernization (Ilwaco)</w:t>
      </w:r>
      <w:r>
        <w:tab/>
      </w:r>
      <w:r>
        <w:rPr/>
        <w:t xml:space="preserve">$458,000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Step by Step (Puyallup)</w:t>
      </w:r>
      <w:r>
        <w:tab/>
      </w:r>
      <w:r>
        <w:rPr/>
        <w:t xml:space="preserve">$500,000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tabs>
          <w:tab w:val="right" w:leader="dot" w:pos="9936"/>
        </w:tabs>
      </w:pPr>
      <w:r>
        <w:rPr/>
        <w:t xml:space="preserve">Sunnyside Airport Hangar Maintenance Facility (Sunnyside)</w:t>
      </w:r>
      <w:r>
        <w:tab/>
      </w:r>
      <w:r>
        <w:rPr/>
        <w:t xml:space="preserve">$500,000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Beacon Center Renovation (Tacoma)</w:t>
      </w:r>
      <w:r>
        <w:tab/>
      </w:r>
      <w:r>
        <w:rPr/>
        <w:t xml:space="preserve">$1,000,000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Telford Helipad (Creston)</w:t>
      </w:r>
      <w:r>
        <w:tab/>
      </w:r>
      <w:r>
        <w:rPr/>
        <w:t xml:space="preserve">$52,000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White Center Community HUB (Seattle)</w:t>
      </w:r>
      <w:r>
        <w:tab/>
      </w:r>
      <w:r>
        <w:rPr/>
        <w:t xml:space="preserve">$500,000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If the bill is not enacted by June 30, 2019, the amounts provided in this section shall lapse.</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$14,440,000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$7,110,000 is provided solely for grants.</w:t>
      </w:r>
    </w:p>
    <w:p>
      <w:pPr>
        <w:spacing w:before="0" w:after="0" w:line="408" w:lineRule="exact"/>
        <w:ind w:left="0" w:right="0" w:firstLine="576"/>
        <w:jc w:val="left"/>
      </w:pPr>
      <w:r>
        <w:rPr>
          <w:b/>
          <w:i/>
        </w:rPr>
        <w:t xml:space="preserve">(3) The public works board must collaborate with the community economic revitalization board on at least:</w:t>
      </w:r>
    </w:p>
    <w:p>
      <w:pPr>
        <w:spacing w:before="0" w:after="0" w:line="408" w:lineRule="exact"/>
        <w:ind w:left="0" w:right="0" w:firstLine="576"/>
        <w:jc w:val="left"/>
      </w:pPr>
      <w:r>
        <w:rPr>
          <w:b/>
          <w:i/>
        </w:rPr>
        <w:t xml:space="preserve">(a) Existing universal communications account funding that will be used for grant or loan distributions in the 2019-2021 biennial period; and</w:t>
      </w:r>
    </w:p>
    <w:p>
      <w:pPr>
        <w:spacing w:before="0" w:after="0" w:line="408" w:lineRule="exact"/>
        <w:ind w:left="0" w:right="0" w:firstLine="576"/>
        <w:jc w:val="left"/>
      </w:pPr>
      <w:r>
        <w:rPr>
          <w:b/>
          <w:i/>
        </w:rPr>
        <w:t xml:space="preserve">(b) New grants and loans from the statewide broadband account created in Second Substitute Senate Bill No. 5511 (broadband service).</w:t>
      </w:r>
    </w:p>
    <w:p>
      <w:pPr>
        <w:spacing w:before="0" w:after="0" w:line="408" w:lineRule="exact"/>
        <w:ind w:left="0" w:right="0" w:firstLine="576"/>
        <w:jc w:val="left"/>
      </w:pPr>
      <w:r>
        <w:rPr/>
        <w:t xml:space="preserve">(4)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$284,000</w:t>
      </w:r>
    </w:p>
    <w:p>
      <w:pPr>
        <w:spacing w:before="120" w:after="0" w:line="408" w:lineRule="exact"/>
        <w:ind w:left="0" w:right="0" w:firstLine="576"/>
        <w:jc w:val="left"/>
        <w:tabs>
          <w:tab w:val="right" w:leader="dot" w:pos="9936"/>
        </w:tabs>
      </w:pPr>
      <w:r>
        <w:rPr/>
        <w:t xml:space="preserve">Prior Biennia (Expenditures)</w:t>
      </w:r>
      <w:r>
        <w:tab/>
      </w:r>
      <w:r>
        <w:rPr/>
        <w:t xml:space="preserve">$28,660,000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$1,640,000</w:t>
      </w:r>
    </w:p>
    <w:p>
      <w:pPr>
        <w:spacing w:before="120" w:after="0" w:line="408" w:lineRule="exact"/>
        <w:ind w:left="0" w:right="0" w:firstLine="576"/>
        <w:jc w:val="left"/>
        <w:tabs>
          <w:tab w:val="right" w:leader="dot" w:pos="9936"/>
        </w:tabs>
      </w:pPr>
      <w:r>
        <w:rPr/>
        <w:t xml:space="preserve">Prior Biennia (Expenditures)</w:t>
      </w:r>
      <w:r>
        <w:tab/>
      </w:r>
      <w:r>
        <w:rPr/>
        <w:t xml:space="preserve">$34,410,000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subject to the provisions of section 1008, chapter 298, Laws of 2018. The community economic revitalization board may continue to make grants and loans until the end of the 2019-2021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$12,838,000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Asotin County Library Building Phase II</w:t>
      </w:r>
      <w:r>
        <w:tab/>
      </w:r>
      <w:r>
        <w:rPr/>
        <w:t xml:space="preserve">$923,000</w:t>
      </w:r>
    </w:p>
    <w:p>
      <w:pPr>
        <w:spacing w:before="0" w:after="0" w:line="408" w:lineRule="exact"/>
        <w:ind w:left="0" w:right="0" w:firstLine="576"/>
        <w:jc w:val="left"/>
        <w:tabs>
          <w:tab w:val="right" w:leader="dot" w:pos="9936"/>
        </w:tabs>
      </w:pPr>
      <w:r>
        <w:rPr/>
        <w:t xml:space="preserve">Birch Bay Vogt Community Library</w:t>
      </w:r>
      <w:r>
        <w:tab/>
      </w:r>
      <w:r>
        <w:rPr/>
        <w:t xml:space="preserve">$2,000,000</w:t>
      </w:r>
    </w:p>
    <w:p>
      <w:pPr>
        <w:spacing w:before="0" w:after="0" w:line="408" w:lineRule="exact"/>
        <w:ind w:left="0" w:right="0" w:firstLine="576"/>
        <w:jc w:val="left"/>
        <w:tabs>
          <w:tab w:val="right" w:leader="dot" w:pos="9936"/>
        </w:tabs>
      </w:pPr>
      <w:r>
        <w:rPr/>
        <w:t xml:space="preserve">La Conner Regional Library</w:t>
      </w:r>
      <w:r>
        <w:tab/>
      </w:r>
      <w:r>
        <w:rPr/>
        <w:t xml:space="preserve">$720,000</w:t>
      </w:r>
    </w:p>
    <w:p>
      <w:pPr>
        <w:spacing w:before="0" w:after="0" w:line="408" w:lineRule="exact"/>
        <w:ind w:left="0" w:right="0" w:firstLine="576"/>
        <w:jc w:val="left"/>
        <w:tabs>
          <w:tab w:val="right" w:leader="dot" w:pos="9936"/>
        </w:tabs>
      </w:pPr>
      <w:r>
        <w:rPr/>
        <w:t xml:space="preserve">Mount Vernon Library</w:t>
      </w:r>
      <w:r>
        <w:tab/>
      </w:r>
      <w:r>
        <w:rPr/>
        <w:t xml:space="preserve">$1,000,000</w:t>
      </w:r>
    </w:p>
    <w:p>
      <w:pPr>
        <w:spacing w:before="0" w:after="0" w:line="408" w:lineRule="exact"/>
        <w:ind w:left="0" w:right="0" w:firstLine="576"/>
        <w:jc w:val="left"/>
        <w:tabs>
          <w:tab w:val="right" w:leader="dot" w:pos="9936"/>
        </w:tabs>
      </w:pPr>
      <w:r>
        <w:rPr/>
        <w:t xml:space="preserve">Roslyn Library</w:t>
      </w:r>
      <w:r>
        <w:tab/>
      </w:r>
      <w:r>
        <w:rPr/>
        <w:t xml:space="preserve">$780,000</w:t>
      </w:r>
    </w:p>
    <w:p>
      <w:pPr>
        <w:spacing w:before="0" w:after="0" w:line="408" w:lineRule="exact"/>
        <w:ind w:left="0" w:right="0" w:firstLine="576"/>
        <w:jc w:val="left"/>
        <w:tabs>
          <w:tab w:val="right" w:leader="dot" w:pos="9936"/>
        </w:tabs>
      </w:pPr>
      <w:r>
        <w:rPr/>
        <w:t xml:space="preserve">Sedro-Woolley Library</w:t>
      </w:r>
      <w:r>
        <w:tab/>
      </w:r>
      <w:r>
        <w:rPr/>
        <w:t xml:space="preserve">$1,000,000</w:t>
      </w:r>
    </w:p>
    <w:p>
      <w:pPr>
        <w:spacing w:before="0" w:after="0" w:line="408" w:lineRule="exact"/>
        <w:ind w:left="0" w:right="0" w:firstLine="576"/>
        <w:jc w:val="left"/>
        <w:tabs>
          <w:tab w:val="right" w:leader="dot" w:pos="9936"/>
        </w:tabs>
      </w:pPr>
      <w:r>
        <w:rPr/>
        <w:t xml:space="preserve">Silverdale Library</w:t>
      </w:r>
      <w:r>
        <w:tab/>
      </w:r>
      <w:r>
        <w:rPr/>
        <w:t xml:space="preserve">$1,600,000</w:t>
      </w:r>
    </w:p>
    <w:p>
      <w:pPr>
        <w:spacing w:before="0" w:after="0" w:line="408" w:lineRule="exact"/>
        <w:ind w:left="0" w:right="0" w:firstLine="576"/>
        <w:jc w:val="left"/>
        <w:tabs>
          <w:tab w:val="right" w:leader="dot" w:pos="9936"/>
        </w:tabs>
      </w:pPr>
      <w:r>
        <w:rPr/>
        <w:t xml:space="preserve">Union Gap Library and Community Center</w:t>
      </w:r>
      <w:r>
        <w:tab/>
      </w:r>
      <w:r>
        <w:rPr/>
        <w:t xml:space="preserve">$2,000,000</w:t>
      </w:r>
    </w:p>
    <w:p>
      <w:pPr>
        <w:spacing w:before="0" w:after="0" w:line="408" w:lineRule="exact"/>
        <w:ind w:left="0" w:right="0" w:firstLine="576"/>
        <w:jc w:val="left"/>
        <w:tabs>
          <w:tab w:val="right" w:leader="dot" w:pos="9936"/>
        </w:tabs>
      </w:pPr>
      <w:r>
        <w:rPr/>
        <w:t xml:space="preserve">Winthrop Library</w:t>
      </w:r>
      <w:r>
        <w:tab/>
      </w:r>
      <w:r>
        <w:rPr/>
        <w:t xml:space="preserve">$2,000,000</w:t>
      </w:r>
    </w:p>
    <w:p>
      <w:pPr>
        <w:spacing w:before="0" w:after="0" w:line="408" w:lineRule="exact"/>
        <w:ind w:left="0" w:right="0" w:firstLine="576"/>
        <w:jc w:val="left"/>
        <w:tabs>
          <w:tab w:val="right" w:leader="dot" w:pos="9936"/>
        </w:tabs>
      </w:pPr>
      <w:r>
        <w:rPr/>
        <w:t xml:space="preserve">Woodland Community Library</w:t>
      </w:r>
      <w:r>
        <w:tab/>
      </w:r>
      <w:r>
        <w:rPr/>
        <w:t xml:space="preserve">$515,000</w:t>
      </w:r>
    </w:p>
    <w:p>
      <w:pPr>
        <w:spacing w:before="0" w:after="0" w:line="408" w:lineRule="exact"/>
        <w:ind w:left="0" w:right="0" w:firstLine="576"/>
        <w:jc w:val="left"/>
        <w:tabs>
          <w:tab w:val="right" w:leader="dot" w:pos="9936"/>
        </w:tabs>
      </w:pPr>
      <w:r>
        <w:rPr/>
        <w:t xml:space="preserve">Yale Valley Community Library</w:t>
      </w:r>
      <w:r>
        <w:tab/>
      </w:r>
      <w:r>
        <w:rPr/>
        <w:t xml:space="preserve">$300,000</w:t>
      </w:r>
    </w:p>
    <w:p>
      <w:pPr>
        <w:spacing w:before="0" w:after="0" w:line="408" w:lineRule="exact"/>
        <w:ind w:left="0" w:right="0" w:firstLine="576"/>
        <w:jc w:val="left"/>
      </w:pPr>
      <w:r>
        <w:rPr/>
        <w:t xml:space="preserve">(2) The department of commerce must establish a competitive process to solicit proposals for and prioritize projects whose primary objective is to assist libraries operated by governmental units as defined in RCW 27.12.010 in acquiring, constructing, or rehabilitating facilities.</w:t>
      </w:r>
    </w:p>
    <w:p>
      <w:pPr>
        <w:spacing w:before="0" w:after="0" w:line="408" w:lineRule="exact"/>
        <w:ind w:left="0" w:right="0" w:firstLine="576"/>
        <w:jc w:val="left"/>
      </w:pPr>
      <w:r>
        <w:rPr/>
        <w:t xml:space="preserve">(3) The department of commerce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of commerce must conduct a statewide solicitation of project applications. The department of commerce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fifty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of commerce must submit a prioritized list of recommended projects to the governor and the legislature by October 1, 2020, for inclusion in the department of commerce's 2021-2023 biennial capital budget request. The list must include a description of each project, the amount of recommended state funding, and documentation of nonstate funds to be used for the project. Individual grants may not exceed two million dollars. The total amount of recommended state funding for the projects on a biennial project list must not exceed ten million dollars.</w:t>
      </w:r>
    </w:p>
    <w:p>
      <w:pPr>
        <w:spacing w:before="0" w:after="0" w:line="408" w:lineRule="exact"/>
        <w:ind w:left="0" w:right="0" w:firstLine="576"/>
        <w:jc w:val="left"/>
      </w:pPr>
      <w:r>
        <w:rPr/>
        <w:t xml:space="preserve">(6)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ind w:left="0" w:right="0" w:firstLine="576"/>
        <w:jc w:val="left"/>
      </w:pPr>
      <w:r>
        <w:rPr/>
        <w:t xml:space="preserve">The appropriation in this section is subject to the following conditions and limitations: $1,000,000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Central District Community Preservation and Development Authority (91001280)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is provided solely for the department of commerce to support the establishment of the central district community preservation and development authority in order to facilitate the transfer of the Seattle vocational institute property located at 2120 South Jackson Street, Seattle, Washington 98144 from the Seattle central college to the authority established in House Bill No. 1918 (community preservation auth.). The department must contract with an entity that is familiar with the project, the community, and the state agencies to organize the central district community preservation and development authority.</w:t>
      </w:r>
    </w:p>
    <w:p>
      <w:pPr>
        <w:spacing w:before="0" w:after="0" w:line="408" w:lineRule="exact"/>
        <w:ind w:left="0" w:right="0" w:firstLine="576"/>
        <w:jc w:val="left"/>
      </w:pPr>
      <w:r>
        <w:rPr/>
        <w:t xml:space="preserve">(2) $500,000 is provided solely for the department of commerce to oversee the closure of the Seattle vocational institute for the time period between when the Seattle Central College vacates the property and when the deed of property is transferred to the central district community preservation and development authority pursuant to section 7039 of this act.</w:t>
      </w:r>
    </w:p>
    <w:p>
      <w:pPr>
        <w:spacing w:before="0" w:after="0" w:line="408" w:lineRule="exact"/>
        <w:ind w:left="0" w:right="0" w:firstLine="576"/>
        <w:jc w:val="left"/>
      </w:pPr>
      <w:r>
        <w:rPr/>
        <w:t xml:space="preserve">(3) If House Bill No. 1918 (community preservation auth.)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rPr/>
        <w:t xml:space="preserve">$250,000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$21,750,000</w:t>
      </w:r>
    </w:p>
    <w:p>
      <w:pPr>
        <w:spacing w:before="120" w:after="0" w:line="408" w:lineRule="exact"/>
        <w:ind w:left="0" w:right="0" w:firstLine="576"/>
        <w:jc w:val="left"/>
        <w:tabs>
          <w:tab w:val="right" w:leader="dot" w:pos="9936"/>
        </w:tabs>
      </w:pPr>
      <w:r>
        <w:rPr/>
        <w:t xml:space="preserve">Prior Biennia (Expenditures)</w:t>
      </w:r>
      <w:r>
        <w:tab/>
      </w:r>
      <w:r>
        <w:rPr/>
        <w:t xml:space="preserve">$107,169,000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t xml:space="preserve">(2) $1,000,000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$1,653,000</w:t>
      </w:r>
    </w:p>
    <w:p>
      <w:pPr>
        <w:spacing w:before="120" w:after="0" w:line="408" w:lineRule="exact"/>
        <w:ind w:left="0" w:right="0" w:firstLine="576"/>
        <w:jc w:val="left"/>
        <w:tabs>
          <w:tab w:val="right" w:leader="dot" w:pos="9936"/>
        </w:tabs>
      </w:pPr>
      <w:r>
        <w:rPr/>
        <w:t xml:space="preserve">Prior Biennia (Expenditures)</w:t>
      </w:r>
      <w:r>
        <w:tab/>
      </w:r>
      <w:r>
        <w:rPr/>
        <w:t xml:space="preserve">$86,034,000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$2,444,000</w:t>
      </w:r>
    </w:p>
    <w:p>
      <w:pPr>
        <w:spacing w:before="120" w:after="0" w:line="408" w:lineRule="exact"/>
        <w:ind w:left="0" w:right="0" w:firstLine="576"/>
        <w:jc w:val="left"/>
        <w:tabs>
          <w:tab w:val="right" w:leader="dot" w:pos="9936"/>
        </w:tabs>
      </w:pPr>
      <w:r>
        <w:rPr/>
        <w:t xml:space="preserve">Prior Biennia (Expenditures)</w:t>
      </w:r>
      <w:r>
        <w:tab/>
      </w:r>
      <w:r>
        <w:rPr/>
        <w:t xml:space="preserve">$3,778,000</w:t>
      </w:r>
    </w:p>
    <w:p>
      <w:pPr>
        <w:spacing w:before="0" w:after="0" w:line="408" w:lineRule="exact"/>
        <w:ind w:left="0" w:right="0" w:firstLine="576"/>
        <w:jc w:val="left"/>
        <w:tabs>
          <w:tab w:val="right" w:leader="dot" w:pos="9936"/>
        </w:tabs>
      </w:pPr>
      <w:r>
        <w:rPr/>
        <w:t xml:space="preserve">Future Biennia (Projected Costs)</w:t>
      </w:r>
      <w:r>
        <w:tab/>
      </w:r>
      <w:r>
        <w:rPr/>
        <w:t xml:space="preserve">$14,883,000</w:t>
      </w:r>
    </w:p>
    <w:p>
      <w:pPr>
        <w:tabs>
          <w:tab w:val="right" w:leader="dot" w:pos="9936"/>
        </w:tabs>
        <w:ind w:left="0" w:right="0" w:firstLine="1440"/>
      </w:pPr>
      <w:r>
        <w:rPr/>
        <w:t xml:space="preserve">TOTAL</w:t>
      </w:r>
      <w:r>
        <w:tab/>
      </w:r>
      <w:r>
        <w:rPr/>
        <w:t xml:space="preserve">$25,655,000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elevator modernization.</w:t>
      </w:r>
    </w:p>
    <w:p>
      <w:pPr>
        <w:spacing w:before="0" w:after="0" w:line="408" w:lineRule="exact"/>
        <w:ind w:left="0" w:right="0" w:firstLine="576"/>
        <w:jc w:val="left"/>
      </w:pPr>
      <w:r>
        <w:rPr/>
        <w:t xml:space="preserve">(2) Reappropriation funding is for the following elevator modernizations to be completed:</w:t>
      </w:r>
    </w:p>
    <w:p>
      <w:pPr>
        <w:spacing w:before="0" w:after="0" w:line="408" w:lineRule="exact"/>
        <w:ind w:left="0" w:right="0" w:firstLine="576"/>
        <w:jc w:val="left"/>
      </w:pPr>
      <w:r>
        <w:rPr/>
        <w:t xml:space="preserve">(a) Plaza garage, elevator number one; and</w:t>
      </w:r>
    </w:p>
    <w:p>
      <w:pPr>
        <w:spacing w:before="0" w:after="0" w:line="408" w:lineRule="exact"/>
        <w:ind w:left="0" w:right="0" w:firstLine="576"/>
        <w:jc w:val="left"/>
      </w:pPr>
      <w:r>
        <w:rPr/>
        <w:t xml:space="preserve">(b) Capitol court building, elevator number one.</w:t>
      </w:r>
    </w:p>
    <w:p>
      <w:pPr>
        <w:spacing w:before="0" w:after="0" w:line="408" w:lineRule="exact"/>
        <w:ind w:left="0" w:right="0" w:firstLine="576"/>
        <w:jc w:val="left"/>
      </w:pPr>
      <w:r>
        <w:rPr/>
        <w:t xml:space="preserve">(3) Selection of the elevator to modernize with the new appropriation must be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$21,347,000</w:t>
      </w:r>
    </w:p>
    <w:p>
      <w:pPr>
        <w:tabs>
          <w:tab w:val="right" w:leader="dot" w:pos="9936"/>
        </w:tabs>
        <w:ind w:left="0" w:right="0" w:firstLine="1440"/>
      </w:pPr>
      <w:r>
        <w:rPr/>
        <w:t xml:space="preserve">TOTAL</w:t>
      </w:r>
      <w:r>
        <w:tab/>
      </w:r>
      <w:r>
        <w:rPr/>
        <w:t xml:space="preserve">$24,438,000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is provided solely for the security improvements of distributed antenna system in the natural resource building, columbia,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rPr/>
        <w:t xml:space="preserve">$4,704,000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final buy clean Washington pilot report required in section 1030, chapter 298, Laws of 2018, must be provided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$62,454,000</w:t>
      </w:r>
    </w:p>
    <w:p>
      <w:pPr>
        <w:tabs>
          <w:tab w:val="right" w:leader="dot" w:pos="9936"/>
        </w:tabs>
        <w:ind w:left="0" w:right="0" w:firstLine="1440"/>
      </w:pPr>
      <w:r>
        <w:rPr/>
        <w:t xml:space="preserve">TOTAL</w:t>
      </w:r>
      <w:r>
        <w:tab/>
      </w:r>
      <w:r>
        <w:rPr/>
        <w:t xml:space="preserve">$94,454,000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designing and constructing a new child care center at the IBM site on the capitol campus. The new child care center shall have a minimum of seventy-five to one hundred slots for children.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$7,023,000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$10,023,000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roof replacement of the Cherberg building and the insurance building.</w:t>
      </w:r>
    </w:p>
    <w:p>
      <w:pPr>
        <w:spacing w:before="0" w:after="0" w:line="408" w:lineRule="exact"/>
        <w:ind w:left="0" w:right="0" w:firstLine="576"/>
        <w:jc w:val="left"/>
      </w:pPr>
      <w:r>
        <w:rPr>
          <w:b/>
          <w:i/>
        </w:rPr>
        <w:t xml:space="preserve">(2) Roof replacement and construction for the Cherberg building must be completed prior to roof replacement and construction for the insurance building.</w:t>
      </w:r>
    </w:p>
    <w:p>
      <w:pPr>
        <w:spacing w:before="0" w:after="0" w:line="408" w:lineRule="exact"/>
        <w:ind w:left="0" w:right="0" w:firstLine="576"/>
        <w:jc w:val="left"/>
      </w:pPr>
      <w:r>
        <w:rPr/>
        <w:t xml:space="preserve">(3) Architectural and engineering design documents that were worked on in the 2017-2019 biennium for at least the Cherberg building roof must be submitted to the legislative fiscal committees by July 31, 2019.</w:t>
      </w:r>
    </w:p>
    <w:p>
      <w:pPr>
        <w:spacing w:before="0" w:after="0" w:line="408" w:lineRule="exact"/>
        <w:ind w:left="0" w:right="0" w:firstLine="576"/>
        <w:jc w:val="left"/>
      </w:pPr>
      <w:r>
        <w:rPr/>
        <w:t xml:space="preserve">(4) A schedule for the Cherberg building roof construction must be submitted to the legislative fiscal committees by August 31,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exterior preservation cleaning and repair of the legislative building.</w:t>
      </w:r>
    </w:p>
    <w:p>
      <w:pPr>
        <w:spacing w:before="0" w:after="0" w:line="408" w:lineRule="exact"/>
        <w:ind w:left="0" w:right="0" w:firstLine="576"/>
        <w:jc w:val="left"/>
      </w:pPr>
      <w:r>
        <w:rPr>
          <w:b/>
          <w:i/>
        </w:rPr>
        <w:t xml:space="preserve">(2) Repair work must be completed on at least the:</w:t>
      </w:r>
    </w:p>
    <w:p>
      <w:pPr>
        <w:spacing w:before="0" w:after="0" w:line="408" w:lineRule="exact"/>
        <w:ind w:left="0" w:right="0" w:firstLine="576"/>
        <w:jc w:val="left"/>
      </w:pPr>
      <w:r>
        <w:rPr>
          <w:b/>
          <w:i/>
        </w:rPr>
        <w:t xml:space="preserve">(a) Stonework and tuck pointing;</w:t>
      </w:r>
    </w:p>
    <w:p>
      <w:pPr>
        <w:spacing w:before="0" w:after="0" w:line="408" w:lineRule="exact"/>
        <w:ind w:left="0" w:right="0" w:firstLine="576"/>
        <w:jc w:val="left"/>
      </w:pPr>
      <w:r>
        <w:rPr>
          <w:b/>
          <w:i/>
        </w:rPr>
        <w:t xml:space="preserve">(b) Plaza skylights;</w:t>
      </w:r>
    </w:p>
    <w:p>
      <w:pPr>
        <w:spacing w:before="0" w:after="0" w:line="408" w:lineRule="exact"/>
        <w:ind w:left="0" w:right="0" w:firstLine="576"/>
        <w:jc w:val="left"/>
      </w:pPr>
      <w:r>
        <w:rPr>
          <w:b/>
          <w:i/>
        </w:rPr>
        <w:t xml:space="preserve">(c) Replacement of the balustrade on the plaza level;</w:t>
      </w:r>
    </w:p>
    <w:p>
      <w:pPr>
        <w:spacing w:before="0" w:after="0" w:line="408" w:lineRule="exact"/>
        <w:ind w:left="0" w:right="0" w:firstLine="576"/>
        <w:jc w:val="left"/>
      </w:pPr>
      <w:r>
        <w:rPr>
          <w:b/>
          <w:i/>
        </w:rPr>
        <w:t xml:space="preserve">(d) Skylight over the north vestibule;</w:t>
      </w:r>
    </w:p>
    <w:p>
      <w:pPr>
        <w:spacing w:before="0" w:after="0" w:line="408" w:lineRule="exact"/>
        <w:ind w:left="0" w:right="0" w:firstLine="576"/>
        <w:jc w:val="left"/>
      </w:pPr>
      <w:r>
        <w:rPr>
          <w:b/>
          <w:i/>
        </w:rPr>
        <w:t xml:space="preserve">(e) Failed drain at the north vestibule;</w:t>
      </w:r>
    </w:p>
    <w:p>
      <w:pPr>
        <w:spacing w:before="0" w:after="0" w:line="408" w:lineRule="exact"/>
        <w:ind w:left="0" w:right="0" w:firstLine="576"/>
        <w:jc w:val="left"/>
      </w:pPr>
      <w:r>
        <w:rPr>
          <w:b/>
          <w:i/>
        </w:rPr>
        <w:t xml:space="preserve">(f) Colonnade windows;</w:t>
      </w:r>
    </w:p>
    <w:p>
      <w:pPr>
        <w:spacing w:before="0" w:after="0" w:line="408" w:lineRule="exact"/>
        <w:ind w:left="0" w:right="0" w:firstLine="576"/>
        <w:jc w:val="left"/>
      </w:pPr>
      <w:r>
        <w:rPr>
          <w:b/>
          <w:i/>
        </w:rPr>
        <w:t xml:space="preserve">(g) Bronze doors, to include restoration;</w:t>
      </w:r>
    </w:p>
    <w:p>
      <w:pPr>
        <w:spacing w:before="0" w:after="0" w:line="408" w:lineRule="exact"/>
        <w:ind w:left="0" w:right="0" w:firstLine="576"/>
        <w:jc w:val="left"/>
      </w:pPr>
      <w:r>
        <w:rPr>
          <w:b/>
          <w:i/>
        </w:rPr>
        <w:t xml:space="preserve">(h) Metal roofing repairs and waterproofing;</w:t>
      </w:r>
    </w:p>
    <w:p>
      <w:pPr>
        <w:spacing w:before="0" w:after="0" w:line="408" w:lineRule="exact"/>
        <w:ind w:left="0" w:right="0" w:firstLine="576"/>
        <w:jc w:val="left"/>
      </w:pPr>
      <w:r>
        <w:rPr>
          <w:b/>
          <w:i/>
        </w:rPr>
        <w:t xml:space="preserve">(i) Minor roof repairs and waterproofing; and</w:t>
      </w:r>
    </w:p>
    <w:p>
      <w:pPr>
        <w:spacing w:before="0" w:after="0" w:line="408" w:lineRule="exact"/>
        <w:ind w:left="0" w:right="0" w:firstLine="576"/>
        <w:jc w:val="left"/>
      </w:pPr>
      <w:r>
        <w:rPr>
          <w:b/>
          <w:i/>
        </w:rPr>
        <w:t xml:space="preserve">(j) Interior finishes due to water damage.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$1,453,000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$108,000</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$731,000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$665,000</w:t>
      </w:r>
    </w:p>
    <w:p>
      <w:pPr>
        <w:tabs>
          <w:tab w:val="right" w:leader="dot" w:pos="9936"/>
        </w:tabs>
        <w:ind w:left="0" w:right="0" w:firstLine="1440"/>
      </w:pPr>
      <w:r>
        <w:rPr/>
        <w:t xml:space="preserve">Subtotal Appropriation</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$13,214,000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 campus-wide ARC flash hazard analysis study to assess safety risks and improve worker safety.</w:t>
      </w:r>
    </w:p>
    <w:p>
      <w:pPr>
        <w:spacing w:before="0" w:after="0" w:line="408" w:lineRule="exact"/>
        <w:ind w:left="0" w:right="0" w:firstLine="576"/>
        <w:jc w:val="left"/>
      </w:pPr>
      <w:r>
        <w:rPr/>
        <w:t xml:space="preserve">(2) Funding must be used to at least conduct a full on-site evaluation, evaluate the need for specialized personal protective equipment requirements, identify electrical repairs from the electrical service entry panels to the subpanels for code and safety compliance, and identify panel labeling deficiencies and solutions, fiscal costs, and recommendations to resolve safety risks.</w:t>
      </w:r>
    </w:p>
    <w:p>
      <w:pPr>
        <w:spacing w:before="0" w:after="0" w:line="408" w:lineRule="exact"/>
        <w:ind w:left="0" w:right="0" w:firstLine="576"/>
        <w:jc w:val="left"/>
      </w:pPr>
      <w:r>
        <w:rPr/>
        <w:t xml:space="preserve">(3) The department must submit a preliminary status report to the legislative fiscal committees by December 31, 2019, on at least:</w:t>
      </w:r>
    </w:p>
    <w:p>
      <w:pPr>
        <w:spacing w:before="0" w:after="0" w:line="408" w:lineRule="exact"/>
        <w:ind w:left="0" w:right="0" w:firstLine="576"/>
        <w:jc w:val="left"/>
      </w:pPr>
      <w:r>
        <w:rPr/>
        <w:t xml:space="preserve">(a) The estimated duration of the study, and when it will begin and end;</w:t>
      </w:r>
    </w:p>
    <w:p>
      <w:pPr>
        <w:spacing w:before="0" w:after="0" w:line="408" w:lineRule="exact"/>
        <w:ind w:left="0" w:right="0" w:firstLine="576"/>
        <w:jc w:val="left"/>
      </w:pPr>
      <w:r>
        <w:rPr/>
        <w:t xml:space="preserve">(b) How many staff will be trained, and by when; and</w:t>
      </w:r>
    </w:p>
    <w:p>
      <w:pPr>
        <w:spacing w:before="0" w:after="0" w:line="408" w:lineRule="exact"/>
        <w:ind w:left="0" w:right="0" w:firstLine="576"/>
        <w:jc w:val="left"/>
      </w:pPr>
      <w:r>
        <w:rPr/>
        <w:t xml:space="preserve">(c) How much the personal protective equipment costs per person that was identified as necessary, and how many staff need this equipment.</w:t>
      </w:r>
    </w:p>
    <w:p>
      <w:pPr>
        <w:spacing w:before="0" w:after="0" w:line="408" w:lineRule="exact"/>
        <w:ind w:left="0" w:right="0" w:firstLine="576"/>
        <w:jc w:val="left"/>
      </w:pPr>
      <w:r>
        <w:rPr/>
        <w:t xml:space="preserve">(4) The study is due to the legislative fiscal committees by November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$579,000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exterior preservation cleaning and repair of one of the legislative buildings listed in subsection (3) of this section each biennium.</w:t>
      </w:r>
    </w:p>
    <w:p>
      <w:pPr>
        <w:spacing w:before="0" w:after="0" w:line="408" w:lineRule="exact"/>
        <w:ind w:left="0" w:right="0" w:firstLine="576"/>
        <w:jc w:val="left"/>
      </w:pPr>
      <w:r>
        <w:rPr>
          <w:b/>
          <w:i/>
        </w:rPr>
        <w:t xml:space="preserve">(2) Repair work must be completed on at least the:</w:t>
      </w:r>
    </w:p>
    <w:p>
      <w:pPr>
        <w:spacing w:before="0" w:after="0" w:line="408" w:lineRule="exact"/>
        <w:ind w:left="0" w:right="0" w:firstLine="576"/>
        <w:jc w:val="left"/>
      </w:pPr>
      <w:r>
        <w:rPr>
          <w:b/>
          <w:i/>
        </w:rPr>
        <w:t xml:space="preserve">(a) Stonework;</w:t>
      </w:r>
    </w:p>
    <w:p>
      <w:pPr>
        <w:spacing w:before="0" w:after="0" w:line="408" w:lineRule="exact"/>
        <w:ind w:left="0" w:right="0" w:firstLine="576"/>
        <w:jc w:val="left"/>
      </w:pPr>
      <w:r>
        <w:rPr>
          <w:b/>
          <w:i/>
        </w:rPr>
        <w:t xml:space="preserve">(b) Tuck pointing;</w:t>
      </w:r>
    </w:p>
    <w:p>
      <w:pPr>
        <w:spacing w:before="0" w:after="0" w:line="408" w:lineRule="exact"/>
        <w:ind w:left="0" w:right="0" w:firstLine="576"/>
        <w:jc w:val="left"/>
      </w:pPr>
      <w:r>
        <w:rPr>
          <w:b/>
          <w:i/>
        </w:rPr>
        <w:t xml:space="preserve">(c) Skylights;</w:t>
      </w:r>
    </w:p>
    <w:p>
      <w:pPr>
        <w:spacing w:before="0" w:after="0" w:line="408" w:lineRule="exact"/>
        <w:ind w:left="0" w:right="0" w:firstLine="576"/>
        <w:jc w:val="left"/>
      </w:pPr>
      <w:r>
        <w:rPr>
          <w:b/>
          <w:i/>
        </w:rPr>
        <w:t xml:space="preserve">(d) Windows;</w:t>
      </w:r>
    </w:p>
    <w:p>
      <w:pPr>
        <w:spacing w:before="0" w:after="0" w:line="408" w:lineRule="exact"/>
        <w:ind w:left="0" w:right="0" w:firstLine="576"/>
        <w:jc w:val="left"/>
      </w:pPr>
      <w:r>
        <w:rPr>
          <w:b/>
          <w:i/>
        </w:rPr>
        <w:t xml:space="preserve">(e) Minor roof repairs and waterproofing; and</w:t>
      </w:r>
    </w:p>
    <w:p>
      <w:pPr>
        <w:spacing w:before="0" w:after="0" w:line="408" w:lineRule="exact"/>
        <w:ind w:left="0" w:right="0" w:firstLine="576"/>
        <w:jc w:val="left"/>
      </w:pPr>
      <w:r>
        <w:rPr>
          <w:b/>
          <w:i/>
        </w:rPr>
        <w:t xml:space="preserve">(f) Interior finishes due to water damage.</w:t>
      </w:r>
    </w:p>
    <w:p>
      <w:pPr>
        <w:spacing w:before="0" w:after="0" w:line="408" w:lineRule="exact"/>
        <w:ind w:left="0" w:right="0" w:firstLine="576"/>
        <w:jc w:val="left"/>
      </w:pPr>
      <w:r>
        <w:rPr/>
        <w:t xml:space="preserve">(3) The legislative buildings referenced in subsection (1) of this section include only:</w:t>
      </w:r>
    </w:p>
    <w:p>
      <w:pPr>
        <w:spacing w:before="0" w:after="0" w:line="408" w:lineRule="exact"/>
        <w:ind w:left="0" w:right="0" w:firstLine="576"/>
        <w:jc w:val="left"/>
      </w:pPr>
      <w:r>
        <w:rPr/>
        <w:t xml:space="preserve">(a) The legislative building;</w:t>
      </w:r>
    </w:p>
    <w:p>
      <w:pPr>
        <w:spacing w:before="0" w:after="0" w:line="408" w:lineRule="exact"/>
        <w:ind w:left="0" w:right="0" w:firstLine="576"/>
        <w:jc w:val="left"/>
      </w:pPr>
      <w:r>
        <w:rPr/>
        <w:t xml:space="preserve">(b) The temple of justice;</w:t>
      </w:r>
    </w:p>
    <w:p>
      <w:pPr>
        <w:spacing w:before="0" w:after="0" w:line="408" w:lineRule="exact"/>
        <w:ind w:left="0" w:right="0" w:firstLine="576"/>
        <w:jc w:val="left"/>
      </w:pPr>
      <w:r>
        <w:rPr/>
        <w:t xml:space="preserve">(c) The John A. Cherberg building;</w:t>
      </w:r>
    </w:p>
    <w:p>
      <w:pPr>
        <w:spacing w:before="0" w:after="0" w:line="408" w:lineRule="exact"/>
        <w:ind w:left="0" w:right="0" w:firstLine="576"/>
        <w:jc w:val="left"/>
      </w:pPr>
      <w:r>
        <w:rPr/>
        <w:t xml:space="preserve">(d) The John L. O'Brien building;</w:t>
      </w:r>
    </w:p>
    <w:p>
      <w:pPr>
        <w:spacing w:before="0" w:after="0" w:line="408" w:lineRule="exact"/>
        <w:ind w:left="0" w:right="0" w:firstLine="576"/>
        <w:jc w:val="left"/>
      </w:pPr>
      <w:r>
        <w:rPr/>
        <w:t xml:space="preserve">(e) The insurance building;</w:t>
      </w:r>
    </w:p>
    <w:p>
      <w:pPr>
        <w:spacing w:before="0" w:after="0" w:line="408" w:lineRule="exact"/>
        <w:ind w:left="0" w:right="0" w:firstLine="576"/>
        <w:jc w:val="left"/>
      </w:pPr>
      <w:r>
        <w:rPr/>
        <w:t xml:space="preserve">(f) The Irv Newhouse building; and</w:t>
      </w:r>
    </w:p>
    <w:p>
      <w:pPr>
        <w:spacing w:before="0" w:after="0" w:line="408" w:lineRule="exact"/>
        <w:ind w:left="0" w:right="0" w:firstLine="576"/>
        <w:jc w:val="left"/>
      </w:pPr>
      <w:r>
        <w:rPr/>
        <w:t xml:space="preserve">(g) The Pritchard building.</w:t>
      </w:r>
    </w:p>
    <w:p>
      <w:pPr>
        <w:spacing w:before="0" w:after="0" w:line="408" w:lineRule="exact"/>
        <w:ind w:left="0" w:right="0" w:firstLine="576"/>
        <w:jc w:val="left"/>
      </w:pPr>
      <w:r>
        <w:rPr/>
        <w:t xml:space="preserve">(4) The funding provided in the 2019-2021 biennium must be used for the insurance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to include detail on current space usage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w:t>
      </w:r>
    </w:p>
    <w:p>
      <w:pPr>
        <w:spacing w:before="0" w:after="0" w:line="408" w:lineRule="exact"/>
        <w:ind w:left="0" w:right="0" w:firstLine="576"/>
        <w:jc w:val="left"/>
      </w:pPr>
      <w:r>
        <w:rPr/>
        <w:t xml:space="preserve">(iii) Site 7, the old IBM building; and</w:t>
      </w:r>
    </w:p>
    <w:p>
      <w:pPr>
        <w:spacing w:before="0" w:after="0" w:line="408" w:lineRule="exact"/>
        <w:ind w:left="0" w:right="0" w:firstLine="576"/>
        <w:jc w:val="left"/>
      </w:pPr>
      <w:r>
        <w:rPr/>
        <w:t xml:space="preserve">(iv)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If the department has not signed a purchase and sale agreement by June 30, 2021,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$83,900,000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$28,881,000</w:t>
      </w:r>
    </w:p>
    <w:p>
      <w:pPr>
        <w:spacing w:before="0" w:after="0" w:line="408" w:lineRule="exact"/>
        <w:ind w:left="0" w:right="0" w:firstLine="0"/>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$7,978,000</w:t>
      </w:r>
    </w:p>
    <w:p>
      <w:pPr>
        <w:tabs>
          <w:tab w:val="right" w:leader="dot" w:pos="9936"/>
        </w:tabs>
        <w:ind w:left="0" w:right="0" w:firstLine="1440"/>
      </w:pPr>
      <w:r>
        <w:rPr/>
        <w:t xml:space="preserve">Subtotal Reappropriation</w:t>
      </w:r>
      <w:r>
        <w:tab/>
      </w:r>
      <w:r>
        <w:rPr/>
        <w:t xml:space="preserve">$37,286,000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$2,201,000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$2,071,000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$1,385,000</w:t>
      </w:r>
    </w:p>
    <w:p>
      <w:pPr>
        <w:tabs>
          <w:tab w:val="right" w:leader="dot" w:pos="9936"/>
        </w:tabs>
        <w:ind w:left="0" w:right="0" w:firstLine="1440"/>
      </w:pPr>
      <w:r>
        <w:rPr/>
        <w:t xml:space="preserve">Subtotal Reappropriation</w:t>
      </w:r>
      <w:r>
        <w:tab/>
      </w:r>
      <w:r>
        <w:rPr/>
        <w:t xml:space="preserve">$3,507,000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$1,814,000</w:t>
      </w:r>
    </w:p>
    <w:p>
      <w:pPr>
        <w:tabs>
          <w:tab w:val="right" w:leader="dot" w:pos="9936"/>
        </w:tabs>
        <w:ind w:left="0" w:right="0" w:firstLine="1440"/>
      </w:pPr>
      <w:r>
        <w:rPr/>
        <w:t xml:space="preserve">Subtotal Reappropriation</w:t>
      </w:r>
      <w:r>
        <w:tab/>
      </w:r>
      <w:r>
        <w:rPr/>
        <w:t xml:space="preserve">$22,284,000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appropriations in this section are subject to the following conditions and limitations: $150,000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tabs>
          <w:tab w:val="right" w:leader="dot" w:pos="9936"/>
        </w:tabs>
        <w:ind w:left="0" w:right="0" w:firstLine="1440"/>
      </w:pPr>
      <w:r>
        <w:rPr/>
        <w:t xml:space="preserve">Subtotal Appropriation</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Upon the completion of the rehabilitation of the Beverly bridge, the state parks and recreation commission, the department of natural resources, and the department of archaeology and historic preservation must enter into a memorandum of agreement which includes, but is not limited to: (a) A requirement for the payment of fees for conveyance of electrical utilities across the bridge; (b) certification of the safety for vehicular use of the bridge; (c) use of the bridge by motorized emergency vehicles; (d) a plan for authorization of motorized use of the bridge by workers of orchards within a one mile radius of the bridge; and (e) a traffic management system to avoid conflicts among recreational users of the trail and permitted vehicular use.</w:t>
      </w:r>
    </w:p>
    <w:p>
      <w:pPr>
        <w:spacing w:before="0" w:after="0" w:line="408" w:lineRule="exact"/>
        <w:ind w:left="0" w:right="0" w:firstLine="576"/>
        <w:jc w:val="left"/>
      </w:pPr>
      <w:r>
        <w:rPr/>
        <w:t xml:space="preserve">(2) The department of archaeology and historic preservation must work with the state parks and recreation commission to ensure that archaeological and cultural resources are protected during rehabilitation and future use of the bridge, and may use fencing to restrict access to culturally sensitive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$122,000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$304,000</w:t>
      </w:r>
    </w:p>
    <w:p>
      <w:pPr>
        <w:spacing w:before="0" w:after="0" w:line="408" w:lineRule="exact"/>
        <w:ind w:left="0" w:right="0" w:firstLine="576"/>
        <w:jc w:val="left"/>
        <w:tabs>
          <w:tab w:val="right" w:leader="dot" w:pos="9936"/>
        </w:tabs>
      </w:pPr>
      <w:r>
        <w:rPr/>
        <w:t xml:space="preserve">Clark</w:t>
      </w:r>
      <w:r>
        <w:tab/>
      </w:r>
      <w:r>
        <w:rPr/>
        <w:t xml:space="preserve">$39,000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appropriation in this section is subject to the following conditions and limitations: The department must prioritize public facilities projects that provide the greatest public benefit by preserving properties that are historically significant and serve the greatest number of people.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$342,000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$342,000</w:t>
      </w:r>
    </w:p>
    <w:p>
      <w:pPr>
        <w:tabs>
          <w:tab w:val="right" w:leader="dot" w:pos="9936"/>
        </w:tabs>
        <w:ind w:left="0" w:right="0" w:firstLine="1440"/>
      </w:pPr>
      <w:r>
        <w:rPr/>
        <w:t xml:space="preserve">Subtotal Reappropriation</w:t>
      </w:r>
      <w:r>
        <w:tab/>
      </w:r>
      <w:r>
        <w:rPr/>
        <w:t xml:space="preserve">$684,000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construction of a new lab and training facility.</w:t>
      </w:r>
    </w:p>
    <w:p>
      <w:pPr>
        <w:spacing w:before="0" w:after="0" w:line="408" w:lineRule="exact"/>
        <w:ind w:left="0" w:right="0" w:firstLine="576"/>
        <w:jc w:val="left"/>
      </w:pPr>
      <w:r>
        <w:rPr/>
        <w:t xml:space="preserve">(2) The new facility must be shared between the department of labor and industries and the department of agriculture.</w:t>
      </w:r>
    </w:p>
    <w:p>
      <w:pPr>
        <w:spacing w:before="0" w:after="0" w:line="408" w:lineRule="exact"/>
        <w:ind w:left="0" w:right="0" w:firstLine="576"/>
        <w:jc w:val="left"/>
      </w:pPr>
      <w:r>
        <w:rPr/>
        <w:t xml:space="preserve">(3) The facility must be at least 53,000 gross square feet.</w:t>
      </w:r>
    </w:p>
    <w:p>
      <w:pPr>
        <w:spacing w:before="0" w:after="0" w:line="408" w:lineRule="exact"/>
        <w:ind w:left="0" w:right="0" w:firstLine="576"/>
        <w:jc w:val="left"/>
      </w:pPr>
      <w:r>
        <w:rPr/>
        <w:t xml:space="preserve">(4) The new facility must include labs for both the department of labor and industries and the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$10,494,000</w:t>
      </w:r>
    </w:p>
    <w:p>
      <w:pPr>
        <w:spacing w:before="120" w:after="0" w:line="408" w:lineRule="exact"/>
        <w:ind w:left="0" w:right="0" w:firstLine="576"/>
        <w:jc w:val="left"/>
        <w:tabs>
          <w:tab w:val="right" w:leader="dot" w:pos="9936"/>
        </w:tabs>
      </w:pPr>
      <w:r>
        <w:rPr/>
        <w:t xml:space="preserve">Prior Biennia (Expenditures)</w:t>
      </w:r>
      <w:r>
        <w:tab/>
      </w:r>
      <w:r>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$2,339,000</w:t>
      </w:r>
    </w:p>
    <w:p>
      <w:pPr>
        <w:tabs>
          <w:tab w:val="right" w:leader="dot" w:pos="9936"/>
        </w:tabs>
        <w:ind w:left="0" w:right="0" w:firstLine="1440"/>
      </w:pPr>
      <w:r>
        <w:rPr/>
        <w:t xml:space="preserve">Subtotal Reappropriation</w:t>
      </w:r>
      <w:r>
        <w:tab/>
      </w:r>
      <w:r>
        <w:rPr/>
        <w:t xml:space="preserve">$4,764,000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$2,294,000</w:t>
      </w:r>
    </w:p>
    <w:p>
      <w:pPr>
        <w:spacing w:before="120" w:after="0" w:line="408" w:lineRule="exact"/>
        <w:ind w:left="0" w:right="0" w:firstLine="576"/>
        <w:jc w:val="left"/>
        <w:tabs>
          <w:tab w:val="right" w:leader="dot" w:pos="9936"/>
        </w:tabs>
      </w:pPr>
      <w:r>
        <w:rPr/>
        <w:t xml:space="preserve">Prior Biennia (Expenditures)</w:t>
      </w:r>
      <w:r>
        <w:tab/>
      </w:r>
      <w:r>
        <w:rPr/>
        <w:t xml:space="preserve">$2,156,000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$2,488,000</w:t>
      </w:r>
    </w:p>
    <w:p>
      <w:pPr>
        <w:spacing w:before="120" w:after="0" w:line="408" w:lineRule="exact"/>
        <w:ind w:left="0" w:right="0" w:firstLine="576"/>
        <w:jc w:val="left"/>
        <w:tabs>
          <w:tab w:val="right" w:leader="dot" w:pos="9936"/>
        </w:tabs>
      </w:pPr>
      <w:r>
        <w:rPr/>
        <w:t xml:space="preserve">Prior Biennia (Expenditures)</w:t>
      </w:r>
      <w:r>
        <w:tab/>
      </w:r>
      <w:r>
        <w:rPr/>
        <w:t xml:space="preserve">$912,000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$11,700,000</w:t>
      </w:r>
    </w:p>
    <w:p>
      <w:pPr>
        <w:spacing w:before="120" w:after="0" w:line="408" w:lineRule="exact"/>
        <w:ind w:left="0" w:right="0" w:firstLine="576"/>
        <w:jc w:val="left"/>
        <w:tabs>
          <w:tab w:val="right" w:leader="dot" w:pos="9936"/>
        </w:tabs>
      </w:pPr>
      <w:r>
        <w:rPr/>
        <w:t xml:space="preserve">Prior Biennia (Expenditures)</w:t>
      </w:r>
      <w:r>
        <w:tab/>
      </w:r>
      <w:r>
        <w:rPr/>
        <w:t xml:space="preserve">$1,244,000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$5,284,000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$10,246,000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$11,015,000</w:t>
      </w:r>
    </w:p>
    <w:p>
      <w:pPr>
        <w:tabs>
          <w:tab w:val="right" w:leader="dot" w:pos="9936"/>
        </w:tabs>
        <w:ind w:left="0" w:right="0" w:firstLine="1440"/>
      </w:pPr>
      <w:r>
        <w:rPr/>
        <w:t xml:space="preserve">Subtotal Appropriation</w:t>
      </w:r>
      <w:r>
        <w:tab/>
      </w:r>
      <w:r>
        <w:rPr/>
        <w:t xml:space="preserve">$12,680,000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t xml:space="preserve">$172,025,000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tabs>
          <w:tab w:val="right" w:leader="dot" w:pos="9936"/>
        </w:tabs>
        <w:ind w:left="0" w:right="0" w:firstLine="1440"/>
      </w:pPr>
      <w:r>
        <w:rPr/>
        <w:t xml:space="preserve">Subtotal Appropriation</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$25,920,000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The projects listed in this section must be designed under one contract, and installed under one contract. The department must consult with the department of children, youth, and families to prioritize the projects.</w:t>
      </w:r>
    </w:p>
    <w:p>
      <w:pPr>
        <w:spacing w:before="0" w:after="0" w:line="408" w:lineRule="exact"/>
        <w:ind w:left="0" w:right="0" w:firstLine="576"/>
        <w:jc w:val="left"/>
      </w:pPr>
      <w:r>
        <w:rPr/>
        <w:t xml:space="preserve">(2) When the bid is received, the department must report to the appropriate legislative committees the overall bid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for a new forensic hospital on the existing campus. The appropriation provided may be used for predesign and siting costs.</w:t>
      </w:r>
    </w:p>
    <w:p>
      <w:pPr>
        <w:spacing w:before="0" w:after="0" w:line="408" w:lineRule="exact"/>
        <w:ind w:left="0" w:right="0" w:firstLine="576"/>
        <w:jc w:val="left"/>
      </w:pPr>
      <w:r>
        <w:rPr/>
        <w:t xml:space="preserve">(2)(a) The predesign must consider between two hundred fifty and three hundred fifty forensic beds.</w:t>
      </w:r>
    </w:p>
    <w:p>
      <w:pPr>
        <w:spacing w:before="0" w:after="0" w:line="408" w:lineRule="exact"/>
        <w:ind w:left="0" w:right="0" w:firstLine="576"/>
        <w:jc w:val="left"/>
      </w:pPr>
      <w:r>
        <w:rPr/>
        <w:t xml:space="preserve">(b) In order to determine the needed capacity at the new forensic hospital, the department must take into consideration the projected forensic demand and statewide capacity. The capacity must account for the continued use of buildings 27, 28, and 29 for forensic patients and civil patients with complex behavioral needs and prior forensic involvement, as well as the capacity at eastern state hospital. To determine the necessary capacity for the new forensic hospital, the predesign must plan the space for forensic admissions and restoration purposes.</w:t>
      </w:r>
    </w:p>
    <w:p>
      <w:pPr>
        <w:spacing w:before="0" w:after="0" w:line="408" w:lineRule="exact"/>
        <w:ind w:left="0" w:right="0" w:firstLine="576"/>
        <w:jc w:val="left"/>
      </w:pPr>
      <w:r>
        <w:rPr/>
        <w:t xml:space="preserve">(3) The department must submit the predesign to the appropriate legislative committees by September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$257,500,000</w:t>
      </w:r>
    </w:p>
    <w:p>
      <w:pPr>
        <w:tabs>
          <w:tab w:val="right" w:leader="dot" w:pos="9936"/>
        </w:tabs>
        <w:ind w:left="0" w:right="0" w:firstLine="1440"/>
      </w:pPr>
      <w:r>
        <w:rPr/>
        <w:t xml:space="preserve">TOTAL</w:t>
      </w:r>
      <w:r>
        <w:tab/>
      </w:r>
      <w:r>
        <w:rPr/>
        <w:t xml:space="preserve">$258,500,000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$8,800,000</w:t>
      </w:r>
    </w:p>
    <w:p>
      <w:pPr>
        <w:spacing w:before="120" w:after="0" w:line="408" w:lineRule="exact"/>
        <w:ind w:left="0" w:right="0" w:firstLine="576"/>
        <w:jc w:val="left"/>
        <w:tabs>
          <w:tab w:val="right" w:leader="dot" w:pos="9936"/>
        </w:tabs>
      </w:pPr>
      <w:r>
        <w:rPr/>
        <w:t xml:space="preserve">Prior Biennia (Expenditures)</w:t>
      </w:r>
      <w:r>
        <w:tab/>
      </w:r>
      <w:r>
        <w:rPr/>
        <w:t xml:space="preserve">$6,969,000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 (91000070)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$15,190,000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Flooring (91000076)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predesign, design, siting, site work, and preliminary construction for a new forty-eight bed behavioral health facility that is not subject to federal funding restrictions that apply to institutions of mental diseases.</w:t>
      </w:r>
    </w:p>
    <w:p>
      <w:pPr>
        <w:spacing w:before="0" w:after="0" w:line="408" w:lineRule="exact"/>
        <w:ind w:left="0" w:right="0" w:firstLine="576"/>
        <w:jc w:val="left"/>
      </w:pPr>
      <w:r>
        <w:rPr/>
        <w:t xml:space="preserve">(2) The facility must be provided as follows: At least forty-eight beds, of which sixteen beds are for a state-operated civil commitment program and the remaining beds for private providers for community behavioral health services, including long-term civil commitments.</w:t>
      </w:r>
    </w:p>
    <w:p>
      <w:pPr>
        <w:spacing w:before="0" w:after="0" w:line="408" w:lineRule="exact"/>
        <w:ind w:left="0" w:right="0" w:firstLine="576"/>
        <w:jc w:val="left"/>
      </w:pPr>
      <w:r>
        <w:rPr/>
        <w:t xml:space="preserve">(3) The department must submit a preliminary predesign to the appropriate legislative committees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$30,500,000</w:t>
      </w:r>
    </w:p>
    <w:p>
      <w:pPr>
        <w:tabs>
          <w:tab w:val="right" w:leader="dot" w:pos="9936"/>
        </w:tabs>
        <w:ind w:left="0" w:right="0" w:firstLine="1440"/>
      </w:pPr>
      <w:r>
        <w:rPr/>
        <w:t xml:space="preserve">TOTAL</w:t>
      </w:r>
      <w:r>
        <w:tab/>
      </w:r>
      <w:r>
        <w:rPr/>
        <w:t xml:space="preserve">$50,500,000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$2,805,000</w:t>
      </w:r>
    </w:p>
    <w:p>
      <w:pPr>
        <w:spacing w:before="120" w:after="0" w:line="408" w:lineRule="exact"/>
        <w:ind w:left="0" w:right="0" w:firstLine="576"/>
        <w:jc w:val="left"/>
        <w:tabs>
          <w:tab w:val="right" w:leader="dot" w:pos="9936"/>
        </w:tabs>
      </w:pPr>
      <w:r>
        <w:rPr/>
        <w:t xml:space="preserve">Prior Biennia (Expenditures)</w:t>
      </w:r>
      <w:r>
        <w:tab/>
      </w:r>
      <w:r>
        <w:rPr/>
        <w:t xml:space="preserve">$2,829,000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$27,229,000</w:t>
      </w:r>
    </w:p>
    <w:p>
      <w:pPr>
        <w:tabs>
          <w:tab w:val="right" w:leader="dot" w:pos="9936"/>
        </w:tabs>
        <w:ind w:left="0" w:right="0" w:firstLine="1440"/>
      </w:pPr>
      <w:r>
        <w:rPr/>
        <w:t xml:space="preserve">TOTAL</w:t>
      </w:r>
      <w:r>
        <w:tab/>
      </w:r>
      <w:r>
        <w:rPr/>
        <w:t xml:space="preserve">$27,425,000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$7,065,000</w:t>
      </w:r>
    </w:p>
    <w:p>
      <w:pPr>
        <w:tabs>
          <w:tab w:val="right" w:leader="dot" w:pos="9936"/>
        </w:tabs>
        <w:ind w:left="0" w:right="0" w:firstLine="1440"/>
      </w:pPr>
      <w:r>
        <w:rPr/>
        <w:t xml:space="preserve">TOTAL</w:t>
      </w:r>
      <w:r>
        <w:tab/>
      </w:r>
      <w:r>
        <w:rPr/>
        <w:t xml:space="preserve">$7,623,000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$63,000,000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may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$2,743,000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$16,783,000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Cemetery Road Realignment (91000012)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 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$37,976,000</w:t>
      </w:r>
    </w:p>
    <w:p>
      <w:pPr>
        <w:tabs>
          <w:tab w:val="right" w:leader="dot" w:pos="9936"/>
        </w:tabs>
        <w:ind w:left="0" w:right="0" w:firstLine="1440"/>
      </w:pPr>
      <w:r>
        <w:rPr/>
        <w:t xml:space="preserve">TOTAL</w:t>
      </w:r>
      <w:r>
        <w:tab/>
      </w:r>
      <w:r>
        <w:rPr/>
        <w:t xml:space="preserve">$38,176,000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$57,110,000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for Echo Glen, a predesign for Green Hill, and a comprehensive strategic capital master plan. If Engrossed Second Substitute House Bill No. 1646 is not enacted by June 30, 2019,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Benton-Franklin Juvenile Justice Center At-Risk Youth Services (92000033)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final design and construction of an at-risk youth services center in Kennewick, Washington. The department must contract with Benton and Franklin counties to carry out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rPr/>
        <w:t xml:space="preserve">$1,022,000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2053, chapter 2, Laws of 2018.</w:t>
      </w:r>
    </w:p>
    <w:p>
      <w:pPr>
        <w:spacing w:before="0" w:after="0" w:line="408" w:lineRule="exact"/>
        <w:ind w:left="0" w:right="0" w:firstLine="576"/>
        <w:jc w:val="left"/>
      </w:pPr>
      <w:r>
        <w:rPr/>
        <w:t xml:space="preserve">(2) These funds are reappropriated for the renovation of Maple Lane corrections center for use as a 128-bed minimum facility for women offenders. The renovation and subsequent use shall occur subject only to reasonable local permitting and mitigation requirements, and shall not be subject to any further siting or use process.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$85,633,000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BAR Unit Door Conversions (91000431)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implement the settlement agreement in </w:t>
      </w:r>
      <w:r>
        <w:rPr>
          <w:i/>
        </w:rPr>
        <w:t xml:space="preserve">Disability Rights Washington v. Inslee, et. al.,</w:t>
      </w:r>
      <w:r>
        <w:rPr/>
        <w:t xml:space="preserve"> U.S. District Court-Western District, Case No. 18-5071, for the portions of the agreement that require modifications to existing booth-controlled cell door mechanisms in one treatment unit in the Washington State Penitentiary. If the settlement agreement is not fully executed and approved by the court before September 1, 2019,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$8,505,000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$2,076,000</w:t>
      </w:r>
    </w:p>
    <w:p>
      <w:pPr>
        <w:spacing w:before="120" w:after="0" w:line="408" w:lineRule="exact"/>
        <w:ind w:left="0" w:right="0" w:firstLine="576"/>
        <w:jc w:val="left"/>
        <w:tabs>
          <w:tab w:val="right" w:leader="dot" w:pos="9936"/>
        </w:tabs>
      </w:pPr>
      <w:r>
        <w:rPr/>
        <w:t xml:space="preserve">Prior Biennia (Expenditures)</w:t>
      </w:r>
      <w:r>
        <w:tab/>
      </w:r>
      <w:r>
        <w:rPr/>
        <w:t xml:space="preserve">$89,424,000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$3,813,000</w:t>
      </w:r>
    </w:p>
    <w:p>
      <w:pPr>
        <w:spacing w:before="120" w:after="0" w:line="408" w:lineRule="exact"/>
        <w:ind w:left="0" w:right="0" w:firstLine="576"/>
        <w:jc w:val="left"/>
        <w:tabs>
          <w:tab w:val="right" w:leader="dot" w:pos="9936"/>
        </w:tabs>
      </w:pPr>
      <w:r>
        <w:rPr/>
        <w:t xml:space="preserve">Prior Biennia (Expenditures)</w:t>
      </w:r>
      <w:r>
        <w:tab/>
      </w:r>
      <w:r>
        <w:rPr/>
        <w:t xml:space="preserve">$71,296,000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rPr/>
        <w:t xml:space="preserve">$7,568,000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$19,152,000</w:t>
      </w:r>
    </w:p>
    <w:p>
      <w:pPr>
        <w:spacing w:before="120" w:after="0" w:line="408" w:lineRule="exact"/>
        <w:ind w:left="0" w:right="0" w:firstLine="576"/>
        <w:jc w:val="left"/>
        <w:tabs>
          <w:tab w:val="right" w:leader="dot" w:pos="9936"/>
        </w:tabs>
      </w:pPr>
      <w:r>
        <w:rPr/>
        <w:t xml:space="preserve">Prior Biennia (Expenditures)</w:t>
      </w:r>
      <w:r>
        <w:tab/>
      </w:r>
      <w:r>
        <w:rPr/>
        <w:t xml:space="preserve">$43,712,000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3005,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$46,474,000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$4,620,000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$7,044,000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$23,115,000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$169,000</w:t>
      </w:r>
    </w:p>
    <w:p>
      <w:pPr>
        <w:spacing w:before="120" w:after="0" w:line="408" w:lineRule="exact"/>
        <w:ind w:left="0" w:right="0" w:firstLine="576"/>
        <w:jc w:val="left"/>
        <w:tabs>
          <w:tab w:val="right" w:leader="dot" w:pos="9936"/>
        </w:tabs>
      </w:pPr>
      <w:r>
        <w:rPr/>
        <w:t xml:space="preserve">Prior Biennia (Expenditures)</w:t>
      </w:r>
      <w:r>
        <w:tab/>
      </w:r>
      <w:r>
        <w:rPr/>
        <w:t xml:space="preserve">$7,431,000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$514,000</w:t>
      </w:r>
    </w:p>
    <w:p>
      <w:pPr>
        <w:tabs>
          <w:tab w:val="right" w:leader="dot" w:pos="9936"/>
        </w:tabs>
        <w:ind w:left="0" w:right="0" w:firstLine="1440"/>
      </w:pPr>
      <w:r>
        <w:rPr/>
        <w:t xml:space="preserve">Subtotal Reappropriation</w:t>
      </w:r>
      <w:r>
        <w:tab/>
      </w:r>
      <w:r>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$73,941,000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$31,174,000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$10,710,000</w:t>
      </w:r>
    </w:p>
    <w:p>
      <w:pPr>
        <w:spacing w:before="120" w:after="0" w:line="408" w:lineRule="exact"/>
        <w:ind w:left="0" w:right="0" w:firstLine="576"/>
        <w:jc w:val="left"/>
        <w:tabs>
          <w:tab w:val="right" w:leader="dot" w:pos="9936"/>
        </w:tabs>
      </w:pPr>
      <w:r>
        <w:rPr/>
        <w:t xml:space="preserve">Prior Biennia (Expenditures)</w:t>
      </w:r>
      <w:r>
        <w:tab/>
      </w:r>
      <w:r>
        <w:rPr/>
        <w:t xml:space="preserve">$51,827,000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$3,436,000</w:t>
      </w:r>
    </w:p>
    <w:p>
      <w:pPr>
        <w:spacing w:before="120" w:after="0" w:line="408" w:lineRule="exact"/>
        <w:ind w:left="0" w:right="0" w:firstLine="576"/>
        <w:jc w:val="left"/>
        <w:tabs>
          <w:tab w:val="right" w:leader="dot" w:pos="9936"/>
        </w:tabs>
      </w:pPr>
      <w:r>
        <w:rPr/>
        <w:t xml:space="preserve">Prior Biennia (Expenditures)</w:t>
      </w:r>
      <w:r>
        <w:tab/>
      </w:r>
      <w:r>
        <w:rPr/>
        <w:t xml:space="preserve">$17,893,000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$8,908,000</w:t>
      </w:r>
    </w:p>
    <w:p>
      <w:pPr>
        <w:spacing w:before="120" w:after="0" w:line="408" w:lineRule="exact"/>
        <w:ind w:left="0" w:right="0" w:firstLine="576"/>
        <w:jc w:val="left"/>
        <w:tabs>
          <w:tab w:val="right" w:leader="dot" w:pos="9936"/>
        </w:tabs>
      </w:pPr>
      <w:r>
        <w:rPr/>
        <w:t xml:space="preserve">Prior Biennia (Expenditures)</w:t>
      </w:r>
      <w:r>
        <w:tab/>
      </w:r>
      <w:r>
        <w:rPr/>
        <w:t xml:space="preserve">$992,000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$15,786,000</w:t>
      </w:r>
    </w:p>
    <w:p>
      <w:pPr>
        <w:spacing w:before="120" w:after="0" w:line="408" w:lineRule="exact"/>
        <w:ind w:left="0" w:right="0" w:firstLine="576"/>
        <w:jc w:val="left"/>
        <w:tabs>
          <w:tab w:val="right" w:leader="dot" w:pos="9936"/>
        </w:tabs>
      </w:pPr>
      <w:r>
        <w:rPr/>
        <w:t xml:space="preserve">Prior Biennia (Expenditures)</w:t>
      </w:r>
      <w:r>
        <w:tab/>
      </w:r>
      <w:r>
        <w:rPr/>
        <w:t xml:space="preserve">$19,994,000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$672,000</w:t>
      </w:r>
    </w:p>
    <w:p>
      <w:pPr>
        <w:spacing w:before="120" w:after="0" w:line="408" w:lineRule="exact"/>
        <w:ind w:left="0" w:right="0" w:firstLine="576"/>
        <w:jc w:val="left"/>
        <w:tabs>
          <w:tab w:val="right" w:leader="dot" w:pos="9936"/>
        </w:tabs>
      </w:pPr>
      <w:r>
        <w:rPr/>
        <w:t xml:space="preserve">Prior Biennia (Expenditures)</w:t>
      </w:r>
      <w:r>
        <w:tab/>
      </w:r>
      <w:r>
        <w:rPr/>
        <w:t xml:space="preserve">$1,328,000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$18,711,000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$118,465,000</w:t>
      </w:r>
    </w:p>
    <w:p>
      <w:pPr>
        <w:tabs>
          <w:tab w:val="right" w:leader="dot" w:pos="9936"/>
        </w:tabs>
        <w:ind w:left="0" w:right="0" w:firstLine="1440"/>
      </w:pPr>
      <w:r>
        <w:rPr/>
        <w:t xml:space="preserve">Subtotal Reappropriation</w:t>
      </w:r>
      <w:r>
        <w:tab/>
      </w:r>
      <w:r>
        <w:rPr/>
        <w:t xml:space="preserve">$137,176,000</w:t>
      </w:r>
    </w:p>
    <w:p>
      <w:pPr>
        <w:spacing w:before="120" w:after="0" w:line="408" w:lineRule="exact"/>
        <w:ind w:left="0" w:right="0" w:firstLine="576"/>
        <w:jc w:val="left"/>
        <w:tabs>
          <w:tab w:val="right" w:leader="dot" w:pos="9936"/>
        </w:tabs>
      </w:pPr>
      <w:r>
        <w:rPr/>
        <w:t xml:space="preserve">Prior Biennia (Expenditures)</w:t>
      </w:r>
      <w:r>
        <w:tab/>
      </w:r>
      <w:r>
        <w:rPr/>
        <w:t xml:space="preserve">$65,824,000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$27,816,000</w:t>
      </w:r>
    </w:p>
    <w:p>
      <w:pPr>
        <w:spacing w:before="120" w:after="0" w:line="408" w:lineRule="exact"/>
        <w:ind w:left="0" w:right="0" w:firstLine="576"/>
        <w:jc w:val="left"/>
        <w:tabs>
          <w:tab w:val="right" w:leader="dot" w:pos="9936"/>
        </w:tabs>
      </w:pPr>
      <w:r>
        <w:rPr/>
        <w:t xml:space="preserve">Prior Biennia (Expenditures)</w:t>
      </w:r>
      <w:r>
        <w:tab/>
      </w:r>
      <w:r>
        <w:rPr/>
        <w:t xml:space="preserve">$3,384,000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$19,149,000</w:t>
      </w:r>
    </w:p>
    <w:p>
      <w:pPr>
        <w:spacing w:before="120" w:after="0" w:line="408" w:lineRule="exact"/>
        <w:ind w:left="0" w:right="0" w:firstLine="576"/>
        <w:jc w:val="left"/>
        <w:tabs>
          <w:tab w:val="right" w:leader="dot" w:pos="9936"/>
        </w:tabs>
      </w:pPr>
      <w:r>
        <w:rPr/>
        <w:t xml:space="preserve">Prior Biennia (Expenditures)</w:t>
      </w:r>
      <w:r>
        <w:tab/>
      </w:r>
      <w:r>
        <w:rPr/>
        <w:t xml:space="preserve">$16,411,000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$8,477,000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$7,917,000</w:t>
      </w:r>
    </w:p>
    <w:p>
      <w:pPr>
        <w:spacing w:before="120" w:after="0" w:line="408" w:lineRule="exact"/>
        <w:ind w:left="0" w:right="0" w:firstLine="576"/>
        <w:jc w:val="left"/>
        <w:tabs>
          <w:tab w:val="right" w:leader="dot" w:pos="9936"/>
        </w:tabs>
      </w:pPr>
      <w:r>
        <w:rPr/>
        <w:t xml:space="preserve">Prior Biennia (Expenditures)</w:t>
      </w:r>
      <w:r>
        <w:tab/>
      </w:r>
      <w:r>
        <w:rPr/>
        <w:t xml:space="preserve">$6,464,000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$3,286,000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$3,399,000</w:t>
      </w:r>
    </w:p>
    <w:p>
      <w:pPr>
        <w:spacing w:before="120" w:after="0" w:line="408" w:lineRule="exact"/>
        <w:ind w:left="0" w:right="0" w:firstLine="576"/>
        <w:jc w:val="left"/>
        <w:tabs>
          <w:tab w:val="right" w:leader="dot" w:pos="9936"/>
        </w:tabs>
      </w:pPr>
      <w:r>
        <w:rPr/>
        <w:t xml:space="preserve">Prior Biennia (Expenditures)</w:t>
      </w:r>
      <w:r>
        <w:tab/>
      </w:r>
      <w:r>
        <w:rPr/>
        <w:t xml:space="preserve">$15,601,000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$4,079,000</w:t>
      </w:r>
    </w:p>
    <w:p>
      <w:pPr>
        <w:tabs>
          <w:tab w:val="right" w:leader="dot" w:pos="9936"/>
        </w:tabs>
        <w:ind w:left="0" w:right="0" w:firstLine="1440"/>
      </w:pPr>
      <w:r>
        <w:rPr/>
        <w:t xml:space="preserve">Subtotal Reappropriation</w:t>
      </w:r>
      <w:r>
        <w:tab/>
      </w:r>
      <w:r>
        <w:rPr/>
        <w:t xml:space="preserve">$8,033,000</w:t>
      </w:r>
    </w:p>
    <w:p>
      <w:pPr>
        <w:spacing w:before="120" w:after="0" w:line="408" w:lineRule="exact"/>
        <w:ind w:left="0" w:right="0" w:firstLine="576"/>
        <w:jc w:val="left"/>
        <w:tabs>
          <w:tab w:val="right" w:leader="dot" w:pos="9936"/>
        </w:tabs>
      </w:pPr>
      <w:r>
        <w:rPr/>
        <w:t xml:space="preserve">Prior Biennia (Expenditures)</w:t>
      </w:r>
      <w:r>
        <w:tab/>
      </w:r>
      <w:r>
        <w:rPr/>
        <w:t xml:space="preserve">$21,967,000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$2,960,000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$23,926,000</w:t>
      </w:r>
    </w:p>
    <w:p>
      <w:pPr>
        <w:spacing w:before="120" w:after="0" w:line="408" w:lineRule="exact"/>
        <w:ind w:left="0" w:right="0" w:firstLine="576"/>
        <w:jc w:val="left"/>
        <w:tabs>
          <w:tab w:val="right" w:leader="dot" w:pos="9936"/>
        </w:tabs>
      </w:pPr>
      <w:r>
        <w:rPr/>
        <w:t xml:space="preserve">Prior Biennia (Expenditures)</w:t>
      </w:r>
      <w:r>
        <w:tab/>
      </w:r>
      <w:r>
        <w:rPr/>
        <w:t xml:space="preserve">$4,834,000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$1,506,000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$33,976,000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$35,054,000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Future Biennia (Projected Costs)</w:t>
      </w:r>
      <w:r>
        <w:tab/>
      </w:r>
      <w:r>
        <w:rPr/>
        <w:t xml:space="preserve">$10,700,000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tabs>
          <w:tab w:val="right" w:leader="dot" w:pos="9936"/>
        </w:tabs>
        <w:ind w:left="0" w:right="0" w:firstLine="1440"/>
      </w:pPr>
      <w:r>
        <w:rPr/>
        <w:t xml:space="preserve">TOTAL</w:t>
      </w:r>
      <w:r>
        <w:tab/>
      </w:r>
      <w:r>
        <w:rPr/>
        <w:t xml:space="preserve">$17,100,000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$15,497,000</w:t>
      </w:r>
    </w:p>
    <w:p>
      <w:pPr>
        <w:spacing w:before="120" w:after="0" w:line="408" w:lineRule="exact"/>
        <w:ind w:left="0" w:right="0" w:firstLine="576"/>
        <w:jc w:val="left"/>
        <w:tabs>
          <w:tab w:val="right" w:leader="dot" w:pos="9936"/>
        </w:tabs>
      </w:pPr>
      <w:r>
        <w:rPr/>
        <w:t xml:space="preserve">Prior Biennia (Expenditures)</w:t>
      </w:r>
      <w:r>
        <w:tab/>
      </w:r>
      <w:r>
        <w:rPr/>
        <w:t xml:space="preserve">$15,603,000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$12,203,000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rPr/>
        <w:t xml:space="preserve">$33,744,000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$5,784,000</w:t>
      </w:r>
    </w:p>
    <w:p>
      <w:pPr>
        <w:spacing w:before="120" w:after="0" w:line="408" w:lineRule="exact"/>
        <w:ind w:left="0" w:right="0" w:firstLine="576"/>
        <w:jc w:val="left"/>
        <w:tabs>
          <w:tab w:val="right" w:leader="dot" w:pos="9936"/>
        </w:tabs>
      </w:pPr>
      <w:r>
        <w:rPr/>
        <w:t xml:space="preserve">Prior Biennia (Expenditures)</w:t>
      </w:r>
      <w:r>
        <w:tab/>
      </w:r>
      <w:r>
        <w:rPr/>
        <w:t xml:space="preserve">$716,000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$2,099,000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$28,007,000</w:t>
      </w:r>
    </w:p>
    <w:p>
      <w:pPr>
        <w:spacing w:before="120" w:after="0" w:line="408" w:lineRule="exact"/>
        <w:ind w:left="0" w:right="0" w:firstLine="576"/>
        <w:jc w:val="left"/>
        <w:tabs>
          <w:tab w:val="right" w:leader="dot" w:pos="9936"/>
        </w:tabs>
      </w:pPr>
      <w:r>
        <w:rPr/>
        <w:t xml:space="preserve">Prior Biennia (Expenditures)</w:t>
      </w:r>
      <w:r>
        <w:tab/>
      </w:r>
      <w:r>
        <w:rPr/>
        <w:t xml:space="preserve">$2,093,000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$45,075,000</w:t>
      </w:r>
    </w:p>
    <w:p>
      <w:pPr>
        <w:tabs>
          <w:tab w:val="right" w:leader="dot" w:pos="9936"/>
        </w:tabs>
        <w:ind w:left="0" w:right="0" w:firstLine="1440"/>
      </w:pPr>
      <w:r>
        <w:rPr/>
        <w:t xml:space="preserve">Subtotal Reappropriation</w:t>
      </w:r>
      <w:r>
        <w:tab/>
      </w:r>
      <w:r>
        <w:rPr/>
        <w:t xml:space="preserve">$55,075,000</w:t>
      </w:r>
    </w:p>
    <w:p>
      <w:pPr>
        <w:spacing w:before="120" w:after="0" w:line="408" w:lineRule="exact"/>
        <w:ind w:left="0" w:right="0" w:firstLine="576"/>
        <w:jc w:val="left"/>
        <w:tabs>
          <w:tab w:val="right" w:leader="dot" w:pos="9936"/>
        </w:tabs>
      </w:pPr>
      <w:r>
        <w:rPr/>
        <w:t xml:space="preserve">Prior Biennia (Expenditures)</w:t>
      </w:r>
      <w:r>
        <w:tab/>
      </w:r>
      <w:r>
        <w:rPr/>
        <w:t xml:space="preserve">$4,925,000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$112,599,000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3009, chapter 298,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appropriation in this section is subject to the following conditions and limitations: $5,492,000 is provided solely for the Everett ASARCO cleanup to expedite the remediation of the residential properties, as well as conduct post-remediation monitoring and complete storm drain cleaning.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$12,767,000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appropriations in this section are subject to the following conditions and limitations: $15,000,000 of the appropriation is provided solely to assist in designing, engineering and building the EL 22.1 surface water irrigation system, including a canal pump station, an electrical power substation, booster pump stations, and a large diameter full-sized pipeline sufficient to irrigate 16,000 acres, located north of Interstate-90 and east of Moses Lake, Washington from the east low canal to at least road W northeast, which would provide Columbia basin project irrigation water to the Odessa subarea to replace deep well irrigation in the declining aquifer as part of the Odessa groundwater replacement program. Any moneys received by the east Columbia basin irrigation district from this act for the EL 22.1 must reduce in the same amount the proportionate share of uniform capital costs for the Odessa groundwater replacement program as administered by the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$380,000,000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$23,757,000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t xml:space="preserve">(2) Up to $49,450,000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$10,000,000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t xml:space="preserve">$361,207,000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$49,964,000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$303,964,000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$8,966,000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$951,000</w:t>
      </w:r>
    </w:p>
    <w:p>
      <w:pPr>
        <w:spacing w:before="120" w:after="0" w:line="408" w:lineRule="exact"/>
        <w:ind w:left="0" w:right="0" w:firstLine="576"/>
        <w:jc w:val="left"/>
        <w:tabs>
          <w:tab w:val="right" w:leader="dot" w:pos="9936"/>
        </w:tabs>
      </w:pPr>
      <w:r>
        <w:rPr/>
        <w:t xml:space="preserve">Prior Biennia (Expenditures)</w:t>
      </w:r>
      <w:r>
        <w:tab/>
      </w:r>
      <w:r>
        <w:rPr/>
        <w:t xml:space="preserve">$1,274,000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$13,558,000</w:t>
      </w:r>
    </w:p>
    <w:p>
      <w:pPr>
        <w:spacing w:before="120" w:after="0" w:line="408" w:lineRule="exact"/>
        <w:ind w:left="0" w:right="0" w:firstLine="576"/>
        <w:jc w:val="left"/>
        <w:tabs>
          <w:tab w:val="right" w:leader="dot" w:pos="9936"/>
        </w:tabs>
      </w:pPr>
      <w:r>
        <w:rPr/>
        <w:t xml:space="preserve">Prior Biennia (Expenditures)</w:t>
      </w:r>
      <w:r>
        <w:tab/>
      </w:r>
      <w:r>
        <w:rPr/>
        <w:t xml:space="preserve">$42,000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Port Angeles Stormwater (91000358)</w:t>
      </w:r>
    </w:p>
    <w:p>
      <w:pPr>
        <w:spacing w:before="120" w:after="0" w:line="408" w:lineRule="exact"/>
        <w:ind w:left="0" w:right="0" w:firstLine="576"/>
        <w:jc w:val="left"/>
      </w:pPr>
      <w:r>
        <w:rPr/>
        <w:t xml:space="preserve">The appropriation in this section is subject to the following conditions and limitations: $250,000 is provided solely for the port of Port Angeles for archaeological excavations, design, and engineering for a stormwater pollution control system on industrial lands adjacent to the Tse-whit-zen tribal burial site in Port Angeles. Archaeological excavations must be completed in accordance with a permit issued by the department of archaeology and historic preservation and in consultation with the Lower Elwha Klallam tribe.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0" w:after="0" w:line="408" w:lineRule="exact"/>
        <w:ind w:left="0" w:right="0" w:firstLine="576"/>
        <w:jc w:val="left"/>
      </w:pPr>
      <w:r>
        <w:rPr/>
        <w:t xml:space="preserve">The appropriation in this section is subject to the following conditions and limitations: $400,000 is provided solely for the department of ecology to continue the characterization of perfluoroalkyl and polyfluoroalkyl (PFAS) chemicals in source areas that impact the Issaquah valley aquifer and to design a pilot study for potential cleanup technologies. This work must be done in coordination with the local municipality and fire and rescue agency. The pilot plan shall help inform the development of statewide regulations for this contaminant.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$42,734,000</w:t>
      </w:r>
    </w:p>
    <w:p>
      <w:pPr>
        <w:spacing w:before="120" w:after="0" w:line="408" w:lineRule="exact"/>
        <w:ind w:left="0" w:right="0" w:firstLine="576"/>
        <w:jc w:val="left"/>
        <w:tabs>
          <w:tab w:val="right" w:leader="dot" w:pos="9936"/>
        </w:tabs>
      </w:pPr>
      <w:r>
        <w:rPr/>
        <w:t xml:space="preserve">Prior Biennia (Expenditures)</w:t>
      </w:r>
      <w:r>
        <w:tab/>
      </w:r>
      <w:r>
        <w:rPr/>
        <w:t xml:space="preserve">$54,266,000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$4,834,000</w:t>
      </w:r>
    </w:p>
    <w:p>
      <w:pPr>
        <w:spacing w:before="120" w:after="0" w:line="408" w:lineRule="exact"/>
        <w:ind w:left="0" w:right="0" w:firstLine="576"/>
        <w:jc w:val="left"/>
        <w:tabs>
          <w:tab w:val="right" w:leader="dot" w:pos="9936"/>
        </w:tabs>
      </w:pPr>
      <w:r>
        <w:rPr/>
        <w:t xml:space="preserve">Prior Biennia (Expenditures)</w:t>
      </w:r>
      <w:r>
        <w:tab/>
      </w:r>
      <w:r>
        <w:rPr/>
        <w:t xml:space="preserve">$45,166,000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$3,683,000</w:t>
      </w:r>
    </w:p>
    <w:p>
      <w:pPr>
        <w:spacing w:before="120" w:after="0" w:line="408" w:lineRule="exact"/>
        <w:ind w:left="0" w:right="0" w:firstLine="576"/>
        <w:jc w:val="left"/>
        <w:tabs>
          <w:tab w:val="right" w:leader="dot" w:pos="9936"/>
        </w:tabs>
      </w:pPr>
      <w:r>
        <w:rPr/>
        <w:t xml:space="preserve">Prior Biennia (Expenditures)</w:t>
      </w:r>
      <w:r>
        <w:tab/>
      </w:r>
      <w:r>
        <w:rPr/>
        <w:t xml:space="preserve">$6,317,000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$229,000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$2,295,000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$5,349,000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$7,884,000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rPr/>
        <w:t xml:space="preserve">$458,000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$4,024,000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$151,000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$4,793,000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$5,190,000</w:t>
      </w:r>
    </w:p>
    <w:p>
      <w:pPr>
        <w:spacing w:before="120" w:after="0" w:line="408" w:lineRule="exact"/>
        <w:ind w:left="0" w:right="0" w:firstLine="576"/>
        <w:jc w:val="left"/>
        <w:tabs>
          <w:tab w:val="right" w:leader="dot" w:pos="9936"/>
        </w:tabs>
      </w:pPr>
      <w:r>
        <w:rPr/>
        <w:t xml:space="preserve">Prior Biennia (Expenditures)</w:t>
      </w:r>
      <w:r>
        <w:tab/>
      </w:r>
      <w:r>
        <w:rPr/>
        <w:t xml:space="preserve">$726,000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$4,200,000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$1,493,000</w:t>
      </w:r>
    </w:p>
    <w:p>
      <w:pPr>
        <w:spacing w:before="120" w:after="0" w:line="408" w:lineRule="exact"/>
        <w:ind w:left="0" w:right="0" w:firstLine="576"/>
        <w:jc w:val="left"/>
        <w:tabs>
          <w:tab w:val="right" w:leader="dot" w:pos="9936"/>
        </w:tabs>
      </w:pPr>
      <w:r>
        <w:rPr/>
        <w:t xml:space="preserve">Prior Biennia (Expenditures)</w:t>
      </w:r>
      <w:r>
        <w:tab/>
      </w:r>
      <w:r>
        <w:rPr/>
        <w:t xml:space="preserve">$1,061,000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$1,086,000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$647,000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$1,981,000</w:t>
      </w:r>
    </w:p>
    <w:p>
      <w:pPr>
        <w:spacing w:before="120" w:after="0" w:line="408" w:lineRule="exact"/>
        <w:ind w:left="0" w:right="0" w:firstLine="576"/>
        <w:jc w:val="left"/>
        <w:tabs>
          <w:tab w:val="right" w:leader="dot" w:pos="9936"/>
        </w:tabs>
      </w:pPr>
      <w:r>
        <w:rPr/>
        <w:t xml:space="preserve">Prior Biennia (Expenditures)</w:t>
      </w:r>
      <w:r>
        <w:tab/>
      </w:r>
      <w:r>
        <w:rPr/>
        <w:t xml:space="preserve">$2,610,000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$2,226,000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Major Park Renovation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$21,026,000</w:t>
      </w:r>
    </w:p>
    <w:p>
      <w:pPr>
        <w:tabs>
          <w:tab w:val="right" w:leader="dot" w:pos="9936"/>
        </w:tabs>
        <w:ind w:left="0" w:right="0" w:firstLine="1440"/>
      </w:pPr>
      <w:r>
        <w:rPr/>
        <w:t xml:space="preserve">TOTAL</w:t>
      </w:r>
      <w:r>
        <w:tab/>
      </w:r>
      <w:r>
        <w:rPr/>
        <w:t xml:space="preserve">$21,320,000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Birch Bay - Replace Failing;</w:t>
      </w:r>
    </w:p>
    <w:p>
      <w:pPr>
        <w:spacing w:before="0" w:after="0" w:line="408" w:lineRule="exact"/>
        <w:ind w:left="0" w:right="0" w:firstLine="576"/>
        <w:jc w:val="left"/>
      </w:pPr>
      <w:r>
        <w:rPr/>
        <w:t xml:space="preserve">(b) Deception Pass - Bowman Bay Pier Replacement;</w:t>
      </w:r>
    </w:p>
    <w:p>
      <w:pPr>
        <w:spacing w:before="0" w:after="0" w:line="408" w:lineRule="exact"/>
        <w:ind w:left="0" w:right="0" w:firstLine="576"/>
        <w:jc w:val="left"/>
      </w:pPr>
      <w:r>
        <w:rPr/>
        <w:t xml:space="preserve">(c) Fort Casey - Lighthouse Historic Preservation;</w:t>
      </w:r>
    </w:p>
    <w:p>
      <w:pPr>
        <w:spacing w:before="0" w:after="0" w:line="408" w:lineRule="exact"/>
        <w:ind w:left="0" w:right="0" w:firstLine="576"/>
        <w:jc w:val="left"/>
      </w:pPr>
      <w:r>
        <w:rPr/>
        <w:t xml:space="preserve">(d) Fort Worden - Housing Areas Exterior Improvements;</w:t>
      </w:r>
    </w:p>
    <w:p>
      <w:pPr>
        <w:spacing w:before="0" w:after="0" w:line="408" w:lineRule="exact"/>
        <w:ind w:left="0" w:right="0" w:firstLine="576"/>
        <w:jc w:val="left"/>
      </w:pPr>
      <w:r>
        <w:rPr/>
        <w:t xml:space="preserve">(e) Fort Worden Historic Building Roof Replacements;</w:t>
      </w:r>
    </w:p>
    <w:p>
      <w:pPr>
        <w:spacing w:before="0" w:after="0" w:line="408" w:lineRule="exact"/>
        <w:ind w:left="0" w:right="0" w:firstLine="576"/>
        <w:jc w:val="left"/>
      </w:pPr>
      <w:r>
        <w:rPr/>
        <w:t xml:space="preserve">(f) Fort Worden Replace Failing Water Lines;</w:t>
      </w:r>
    </w:p>
    <w:p>
      <w:pPr>
        <w:spacing w:before="0" w:after="0" w:line="408" w:lineRule="exact"/>
        <w:ind w:left="0" w:right="0" w:firstLine="576"/>
        <w:jc w:val="left"/>
      </w:pPr>
      <w:r>
        <w:rPr/>
        <w:t xml:space="preserve">(g) Kopachuck Day Use Development;</w:t>
      </w:r>
    </w:p>
    <w:p>
      <w:pPr>
        <w:spacing w:before="0" w:after="0" w:line="408" w:lineRule="exact"/>
        <w:ind w:left="0" w:right="0" w:firstLine="576"/>
        <w:jc w:val="left"/>
      </w:pPr>
      <w:r>
        <w:rPr/>
        <w:t xml:space="preserve">(h) Pearrygin Lake Consolidated Park Access;</w:t>
      </w:r>
    </w:p>
    <w:p>
      <w:pPr>
        <w:spacing w:before="0" w:after="0" w:line="408" w:lineRule="exact"/>
        <w:ind w:left="0" w:right="0" w:firstLine="576"/>
        <w:jc w:val="left"/>
      </w:pPr>
      <w:r>
        <w:rPr/>
        <w:t xml:space="preserve">(i) Palouse Falls Day Use Area Renovation;</w:t>
      </w:r>
    </w:p>
    <w:p>
      <w:pPr>
        <w:spacing w:before="0" w:after="0" w:line="408" w:lineRule="exact"/>
        <w:ind w:left="0" w:right="0" w:firstLine="576"/>
        <w:jc w:val="left"/>
      </w:pPr>
      <w:r>
        <w:rPr/>
        <w:t xml:space="preserve">(j) Statewide - ADA Compliance 2019-21;</w:t>
      </w:r>
    </w:p>
    <w:p>
      <w:pPr>
        <w:spacing w:before="0" w:after="0" w:line="408" w:lineRule="exact"/>
        <w:ind w:left="0" w:right="0" w:firstLine="576"/>
        <w:jc w:val="left"/>
      </w:pPr>
      <w:r>
        <w:rPr/>
        <w:t xml:space="preserve">(k) Statewide - Code/Regulatory Compliance 2019-21;</w:t>
      </w:r>
    </w:p>
    <w:p>
      <w:pPr>
        <w:spacing w:before="0" w:after="0" w:line="408" w:lineRule="exact"/>
        <w:ind w:left="0" w:right="0" w:firstLine="576"/>
        <w:jc w:val="left"/>
      </w:pPr>
      <w:r>
        <w:rPr/>
        <w:t xml:space="preserve">(l) Statewide - Facility &amp; Infrastructure Backlog Reduction 2019-21;</w:t>
      </w:r>
    </w:p>
    <w:p>
      <w:pPr>
        <w:spacing w:before="0" w:after="0" w:line="408" w:lineRule="exact"/>
        <w:ind w:left="0" w:right="0" w:firstLine="576"/>
        <w:jc w:val="left"/>
      </w:pPr>
      <w:r>
        <w:rPr/>
        <w:t xml:space="preserve">(m) Statewide - Marine Facilities Rehabilitation;</w:t>
      </w:r>
    </w:p>
    <w:p>
      <w:pPr>
        <w:spacing w:before="0" w:after="0" w:line="408" w:lineRule="exact"/>
        <w:ind w:left="0" w:right="0" w:firstLine="576"/>
        <w:jc w:val="left"/>
      </w:pPr>
      <w:r>
        <w:rPr/>
        <w:t xml:space="preserve">(n) Steptoe Butte Road Improvements;</w:t>
      </w:r>
    </w:p>
    <w:p>
      <w:pPr>
        <w:spacing w:before="0" w:after="0" w:line="408" w:lineRule="exact"/>
        <w:ind w:left="0" w:right="0" w:firstLine="576"/>
        <w:jc w:val="left"/>
      </w:pPr>
      <w:r>
        <w:rPr/>
        <w:t xml:space="preserve">(o) Sun Lakes State Park: Dry Falls Campground Renovation;</w:t>
      </w:r>
    </w:p>
    <w:p>
      <w:pPr>
        <w:spacing w:before="0" w:after="0" w:line="408" w:lineRule="exact"/>
        <w:ind w:left="0" w:right="0" w:firstLine="576"/>
        <w:jc w:val="left"/>
      </w:pPr>
      <w:r>
        <w:rPr/>
        <w:t xml:space="preserve">(p) Lyons Ferry Campground Reestablishment;</w:t>
      </w:r>
    </w:p>
    <w:p>
      <w:pPr>
        <w:spacing w:before="0" w:after="0" w:line="408" w:lineRule="exact"/>
        <w:ind w:left="0" w:right="0" w:firstLine="576"/>
        <w:jc w:val="left"/>
      </w:pPr>
      <w:r>
        <w:rPr/>
        <w:t xml:space="preserve">(q) Cape Disappointment North Head Lighthouse Area Bldgs and Grounds;</w:t>
      </w:r>
    </w:p>
    <w:p>
      <w:pPr>
        <w:spacing w:before="0" w:after="0" w:line="408" w:lineRule="exact"/>
        <w:ind w:left="0" w:right="0" w:firstLine="576"/>
        <w:jc w:val="left"/>
      </w:pPr>
      <w:r>
        <w:rPr/>
        <w:t xml:space="preserve">(r) Fort Flagler - WW1 Historic Facilities Preservation;</w:t>
      </w:r>
    </w:p>
    <w:p>
      <w:pPr>
        <w:spacing w:before="0" w:after="0" w:line="408" w:lineRule="exact"/>
        <w:ind w:left="0" w:right="0" w:firstLine="576"/>
        <w:jc w:val="left"/>
      </w:pPr>
      <w:r>
        <w:rPr/>
        <w:t xml:space="preserve">(s) Fort Simcoe - Historic Officers Quarters Renovation; and</w:t>
      </w:r>
    </w:p>
    <w:p>
      <w:pPr>
        <w:spacing w:before="0" w:after="0" w:line="408" w:lineRule="exact"/>
        <w:ind w:left="0" w:right="0" w:firstLine="576"/>
        <w:jc w:val="left"/>
      </w:pPr>
      <w:r>
        <w:rPr/>
        <w:t xml:space="preserve">(t) Sun Lakes - Dry Falls Visitor's Center Renovation.</w:t>
      </w:r>
    </w:p>
    <w:p>
      <w:pPr>
        <w:spacing w:before="0" w:after="0" w:line="408" w:lineRule="exact"/>
        <w:ind w:left="0" w:right="0" w:firstLine="576"/>
        <w:jc w:val="left"/>
      </w:pPr>
      <w:r>
        <w:rPr/>
        <w:t xml:space="preserve">(3) The department shall report to the governor and the appropriate committees of the legislature the list of projects with funding levels, allotments, and schedules for the projects in this section by January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$2,973,000</w:t>
      </w:r>
    </w:p>
    <w:p>
      <w:pPr>
        <w:tabs>
          <w:tab w:val="right" w:leader="dot" w:pos="9936"/>
        </w:tabs>
        <w:ind w:left="0" w:right="0" w:firstLine="1440"/>
      </w:pPr>
      <w:r>
        <w:rPr/>
        <w:t xml:space="preserve">Subtotal Reappropriation</w:t>
      </w:r>
      <w:r>
        <w:tab/>
      </w:r>
      <w:r>
        <w:rPr/>
        <w:t xml:space="preserve">$20,112,000</w:t>
      </w:r>
    </w:p>
    <w:p>
      <w:pPr>
        <w:spacing w:before="120" w:after="0" w:line="408" w:lineRule="exact"/>
        <w:ind w:left="0" w:right="0" w:firstLine="576"/>
        <w:jc w:val="left"/>
        <w:tabs>
          <w:tab w:val="right" w:leader="dot" w:pos="9936"/>
        </w:tabs>
      </w:pPr>
      <w:r>
        <w:rPr/>
        <w:t xml:space="preserve">Prior Biennia (Expenditures)</w:t>
      </w:r>
      <w:r>
        <w:tab/>
      </w:r>
      <w:r>
        <w:rPr/>
        <w:t xml:space="preserve">$46,388,000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$191,000</w:t>
      </w:r>
    </w:p>
    <w:p>
      <w:pPr>
        <w:spacing w:before="120" w:after="0" w:line="408" w:lineRule="exact"/>
        <w:ind w:left="0" w:right="0" w:firstLine="576"/>
        <w:jc w:val="left"/>
        <w:tabs>
          <w:tab w:val="right" w:leader="dot" w:pos="9936"/>
        </w:tabs>
      </w:pPr>
      <w:r>
        <w:rPr/>
        <w:t xml:space="preserve">Prior Biennia (Expenditures)</w:t>
      </w:r>
      <w:r>
        <w:tab/>
      </w:r>
      <w:r>
        <w:rPr/>
        <w:t xml:space="preserve">$14,019,000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$1,494,000</w:t>
      </w:r>
    </w:p>
    <w:p>
      <w:pPr>
        <w:spacing w:before="120" w:after="0" w:line="408" w:lineRule="exact"/>
        <w:ind w:left="0" w:right="0" w:firstLine="576"/>
        <w:jc w:val="left"/>
        <w:tabs>
          <w:tab w:val="right" w:leader="dot" w:pos="9936"/>
        </w:tabs>
      </w:pPr>
      <w:r>
        <w:rPr/>
        <w:t xml:space="preserve">Prior Biennia (Expenditures)</w:t>
      </w:r>
      <w:r>
        <w:tab/>
      </w:r>
      <w:r>
        <w:rPr/>
        <w:t xml:space="preserve">$8,506,000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$11,775,000</w:t>
      </w:r>
    </w:p>
    <w:p>
      <w:pPr>
        <w:tabs>
          <w:tab w:val="right" w:leader="dot" w:pos="9936"/>
        </w:tabs>
        <w:ind w:left="0" w:right="0" w:firstLine="1440"/>
      </w:pPr>
      <w:r>
        <w:rPr/>
        <w:t xml:space="preserve">Subtotal Reappropriation</w:t>
      </w:r>
      <w:r>
        <w:tab/>
      </w:r>
      <w:r>
        <w:rPr/>
        <w:t xml:space="preserve">$55,946,000</w:t>
      </w:r>
    </w:p>
    <w:p>
      <w:pPr>
        <w:spacing w:before="120" w:after="0" w:line="408" w:lineRule="exact"/>
        <w:ind w:left="0" w:right="0" w:firstLine="576"/>
        <w:jc w:val="left"/>
        <w:tabs>
          <w:tab w:val="right" w:leader="dot" w:pos="9936"/>
        </w:tabs>
      </w:pPr>
      <w:r>
        <w:rPr/>
        <w:t xml:space="preserve">Prior Biennia (Expenditures)</w:t>
      </w:r>
      <w:r>
        <w:tab/>
      </w:r>
      <w:r>
        <w:rPr/>
        <w:t xml:space="preserve">$13,765,000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$29,705,000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tabs>
          <w:tab w:val="right" w:leader="dot" w:pos="9936"/>
        </w:tabs>
        <w:ind w:left="0" w:right="0" w:firstLine="1440"/>
      </w:pPr>
      <w:r>
        <w:rPr/>
        <w:t xml:space="preserve">Subtotal Reappropriation</w:t>
      </w:r>
      <w:r>
        <w:tab/>
      </w:r>
      <w:r>
        <w:rPr/>
        <w:t xml:space="preserve">$64,514,000</w:t>
      </w:r>
    </w:p>
    <w:p>
      <w:pPr>
        <w:spacing w:before="120" w:after="0" w:line="408" w:lineRule="exact"/>
        <w:ind w:left="0" w:right="0" w:firstLine="576"/>
        <w:jc w:val="left"/>
        <w:tabs>
          <w:tab w:val="right" w:leader="dot" w:pos="9936"/>
        </w:tabs>
      </w:pPr>
      <w:r>
        <w:rPr/>
        <w:t xml:space="preserve">Prior Biennia (Expenditures)</w:t>
      </w:r>
      <w:r>
        <w:tab/>
      </w:r>
      <w:r>
        <w:rPr/>
        <w:t xml:space="preserve">$15,486,000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$11,352,000</w:t>
      </w:r>
    </w:p>
    <w:p>
      <w:pPr>
        <w:spacing w:before="120" w:after="0" w:line="408" w:lineRule="exact"/>
        <w:ind w:left="0" w:right="0" w:firstLine="576"/>
        <w:jc w:val="left"/>
        <w:tabs>
          <w:tab w:val="right" w:leader="dot" w:pos="9936"/>
        </w:tabs>
      </w:pPr>
      <w:r>
        <w:rPr/>
        <w:t xml:space="preserve">Prior Biennia (Expenditures)</w:t>
      </w:r>
      <w:r>
        <w:tab/>
      </w:r>
      <w:r>
        <w:rPr/>
        <w:t xml:space="preserve">$1,843,000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$6,315,000</w:t>
      </w:r>
    </w:p>
    <w:p>
      <w:pPr>
        <w:spacing w:before="120" w:after="0" w:line="408" w:lineRule="exact"/>
        <w:ind w:left="0" w:right="0" w:firstLine="576"/>
        <w:jc w:val="left"/>
        <w:tabs>
          <w:tab w:val="right" w:leader="dot" w:pos="9936"/>
        </w:tabs>
      </w:pPr>
      <w:r>
        <w:rPr/>
        <w:t xml:space="preserve">Prior Biennia (Expenditures)</w:t>
      </w:r>
      <w:r>
        <w:tab/>
      </w:r>
      <w:r>
        <w:rPr/>
        <w:t xml:space="preserve">$1,685,000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$4,283,000</w:t>
      </w:r>
    </w:p>
    <w:p>
      <w:pPr>
        <w:spacing w:before="120" w:after="0" w:line="408" w:lineRule="exact"/>
        <w:ind w:left="0" w:right="0" w:firstLine="576"/>
        <w:jc w:val="left"/>
        <w:tabs>
          <w:tab w:val="right" w:leader="dot" w:pos="9936"/>
        </w:tabs>
      </w:pPr>
      <w:r>
        <w:rPr/>
        <w:t xml:space="preserve">Prior Biennia (Expenditures)</w:t>
      </w:r>
      <w:r>
        <w:tab/>
      </w:r>
      <w:r>
        <w:rPr/>
        <w:t xml:space="preserve">$717,000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the list of projects identified in LEAP capital document No. 2019-5H, developed April 27, 2019.</w:t>
      </w:r>
    </w:p>
    <w:p>
      <w:pPr>
        <w:spacing w:before="0" w:after="0" w:line="408" w:lineRule="exact"/>
        <w:ind w:left="0" w:right="0" w:firstLine="576"/>
        <w:jc w:val="left"/>
      </w:pPr>
      <w:r>
        <w:rPr/>
        <w:t xml:space="preserve">(2) The remaining portion of the farm and forest account</w:t>
      </w:r>
      <w:r>
        <w:rPr>
          <w:rFonts w:ascii="Times New Roman" w:hAnsi="Times New Roman"/>
        </w:rPr>
        <w:t xml:space="preserve">—</w:t>
      </w:r>
      <w:r>
        <w:rPr/>
        <w:t xml:space="preserve">state appropriation is provided solely for the prioritized list of projects to be provided by the recreation and conservation office by November 1, 2019, pursuant to RCW 79A.15.130, and the appropriated funds may be spent after the office provides the list.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$38,250,000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$8,500,000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$38,250,000</w:t>
      </w:r>
    </w:p>
    <w:p>
      <w:pPr>
        <w:tabs>
          <w:tab w:val="right" w:leader="dot" w:pos="9936"/>
        </w:tabs>
        <w:ind w:left="0" w:right="0" w:firstLine="1440"/>
      </w:pPr>
      <w:r>
        <w:rPr/>
        <w:t xml:space="preserve">Subtotal Appropriation</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2019-7H, developed April 27, 2019.</w:t>
      </w:r>
    </w:p>
    <w:p>
      <w:pPr>
        <w:spacing w:before="0" w:after="0" w:line="408" w:lineRule="exact"/>
        <w:ind w:left="0" w:right="0" w:firstLine="576"/>
        <w:jc w:val="left"/>
      </w:pPr>
      <w:r>
        <w:rPr/>
        <w:t xml:space="preserve">(2) The agency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2019-8H, developed April 27, 2019.</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funds appropriated for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Phase 3 (WCRI) (910000958)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Community Forest Pilot (92000447)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community forest pilot program, including the following list of projects:</w:t>
      </w:r>
    </w:p>
    <w:p>
      <w:pPr>
        <w:spacing w:before="0" w:after="0" w:line="408" w:lineRule="exact"/>
        <w:ind w:left="0" w:right="0" w:firstLine="576"/>
        <w:jc w:val="left"/>
        <w:tabs>
          <w:tab w:val="right" w:leader="dot" w:pos="9936"/>
        </w:tabs>
      </w:pPr>
      <w:r>
        <w:rPr/>
        <w:t xml:space="preserve">Mt. Adams Community Forest, Outlet Creek Tract</w:t>
      </w:r>
      <w:r>
        <w:tab/>
      </w:r>
      <w:r>
        <w:rPr/>
        <w:t xml:space="preserve">$213,000</w:t>
      </w:r>
    </w:p>
    <w:p>
      <w:pPr>
        <w:spacing w:before="0" w:after="0" w:line="408" w:lineRule="exact"/>
        <w:ind w:left="0" w:right="0" w:firstLine="576"/>
        <w:jc w:val="left"/>
        <w:tabs>
          <w:tab w:val="right" w:leader="dot" w:pos="9936"/>
        </w:tabs>
      </w:pPr>
      <w:r>
        <w:rPr/>
        <w:t xml:space="preserve">Gold Hill Community Forest</w:t>
      </w:r>
      <w:r>
        <w:tab/>
      </w:r>
      <w:r>
        <w:rPr/>
        <w:t xml:space="preserve">$676,000</w:t>
      </w:r>
    </w:p>
    <w:p>
      <w:pPr>
        <w:spacing w:before="0" w:after="0" w:line="408" w:lineRule="exact"/>
        <w:ind w:left="0" w:right="0" w:firstLine="576"/>
        <w:jc w:val="left"/>
      </w:pPr>
      <w:r>
        <w:rPr/>
        <w:t xml:space="preserve">(2) The office may retain up to 4.0 percent of the appropriation for administrative costs, including costs for activities related to subsection (3) of this section.</w:t>
      </w:r>
    </w:p>
    <w:p>
      <w:pPr>
        <w:spacing w:before="0" w:after="0" w:line="408" w:lineRule="exact"/>
        <w:ind w:left="0" w:right="0" w:firstLine="576"/>
        <w:jc w:val="left"/>
      </w:pPr>
      <w:r>
        <w:rPr/>
        <w:t xml:space="preserve">(3) The office must assist Chelan county and other stakeholders to develop a management plan for potential future community forests, including the Nason Ridge community forest. The management plan for the Nason Ridge community forest must be submitted to the governor and the appropriate committees of the legislature by December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tabs>
          <w:tab w:val="right" w:leader="dot" w:pos="9936"/>
        </w:tabs>
        <w:ind w:left="0" w:right="0" w:firstLine="1440"/>
      </w:pPr>
      <w:r>
        <w:rPr/>
        <w:t xml:space="preserve">Subtotal Reappropriation</w:t>
      </w:r>
      <w:r>
        <w:tab/>
      </w:r>
      <w:r>
        <w:rPr/>
        <w:t xml:space="preserve">$3,065,000</w:t>
      </w:r>
    </w:p>
    <w:p>
      <w:pPr>
        <w:spacing w:before="120" w:after="0" w:line="408" w:lineRule="exact"/>
        <w:ind w:left="0" w:right="0" w:firstLine="576"/>
        <w:jc w:val="left"/>
        <w:tabs>
          <w:tab w:val="right" w:leader="dot" w:pos="9936"/>
        </w:tabs>
      </w:pPr>
      <w:r>
        <w:rPr/>
        <w:t xml:space="preserve">Prior Biennia (Expenditures)</w:t>
      </w:r>
      <w:r>
        <w:tab/>
      </w:r>
      <w:r>
        <w:rPr/>
        <w:t xml:space="preserve">$3,810,000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 with the exception of the following: The commission is authorized to reallocate the project funds of $4,913,000 from the Imrie ranches Rock creek agricultural easement to the purchase of the Simcoe unit.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$4,974,000</w:t>
      </w:r>
    </w:p>
    <w:p>
      <w:pPr>
        <w:spacing w:before="120" w:after="0" w:line="408" w:lineRule="exact"/>
        <w:ind w:left="0" w:right="0" w:firstLine="576"/>
        <w:jc w:val="left"/>
        <w:tabs>
          <w:tab w:val="right" w:leader="dot" w:pos="9936"/>
        </w:tabs>
      </w:pPr>
      <w:r>
        <w:rPr/>
        <w:t xml:space="preserve">Prior Biennia (Expenditures)</w:t>
      </w:r>
      <w:r>
        <w:tab/>
      </w:r>
      <w:r>
        <w:rPr/>
        <w:t xml:space="preserve">$2,548,000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$3,377,000</w:t>
      </w:r>
    </w:p>
    <w:p>
      <w:pPr>
        <w:spacing w:before="120" w:after="0" w:line="408" w:lineRule="exact"/>
        <w:ind w:left="0" w:right="0" w:firstLine="576"/>
        <w:jc w:val="left"/>
        <w:tabs>
          <w:tab w:val="right" w:leader="dot" w:pos="9936"/>
        </w:tabs>
      </w:pPr>
      <w:r>
        <w:rPr/>
        <w:t xml:space="preserve">Prior Biennia (Expenditures)</w:t>
      </w:r>
      <w:r>
        <w:tab/>
      </w:r>
      <w:r>
        <w:rPr/>
        <w:t xml:space="preserve">$623,000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appropriations in this section are subject to the following conditions and limitations: $3,900,000 of the appropriation is provided solely for repair of the Wiley Slough dike.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$2,306,000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$5,540,000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$11,804,000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$16,440,000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to be spent in concert with, where applicable, the co-management agreements between the department of fish and wildlife and treaty tribes.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$36,352,000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$2,670,000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$941,000</w:t>
      </w:r>
    </w:p>
    <w:p>
      <w:pPr>
        <w:spacing w:before="120" w:after="0" w:line="408" w:lineRule="exact"/>
        <w:ind w:left="0" w:right="0" w:firstLine="576"/>
        <w:jc w:val="left"/>
        <w:tabs>
          <w:tab w:val="right" w:leader="dot" w:pos="9936"/>
        </w:tabs>
      </w:pPr>
      <w:r>
        <w:rPr/>
        <w:t xml:space="preserve">Prior Biennia (Expenditures)</w:t>
      </w:r>
      <w:r>
        <w:tab/>
      </w:r>
      <w:r>
        <w:rPr/>
        <w:t xml:space="preserve">$8,589,000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tabs>
          <w:tab w:val="right" w:leader="dot" w:pos="9936"/>
        </w:tabs>
        <w:ind w:left="0" w:right="0" w:firstLine="1440"/>
      </w:pPr>
      <w:r>
        <w:rPr/>
        <w:t xml:space="preserve">Subtotal Reappropriation</w:t>
      </w:r>
      <w:r>
        <w:tab/>
      </w:r>
      <w:r>
        <w:rPr/>
        <w:t xml:space="preserve">$1,489,000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$7,616,000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$6,329,000</w:t>
      </w:r>
    </w:p>
    <w:p>
      <w:pPr>
        <w:tabs>
          <w:tab w:val="right" w:leader="dot" w:pos="9936"/>
        </w:tabs>
        <w:ind w:left="0" w:right="0" w:firstLine="1440"/>
      </w:pPr>
      <w:r>
        <w:rPr/>
        <w:t xml:space="preserve">TOTAL</w:t>
      </w:r>
      <w:r>
        <w:tab/>
      </w:r>
      <w:r>
        <w:rPr/>
        <w:t xml:space="preserve">$6,479,000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$7,006,000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$4,189,000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3058, chapter 298, Laws of 2018, with the following exceptions:</w:t>
      </w:r>
    </w:p>
    <w:p>
      <w:pPr>
        <w:spacing w:before="0" w:after="0" w:line="408" w:lineRule="exact"/>
        <w:ind w:left="0" w:right="0" w:firstLine="576"/>
        <w:jc w:val="left"/>
      </w:pPr>
      <w:r>
        <w:rPr/>
        <w:t xml:space="preserve">(1) The department must deposit in the common school construction account the portion of the appropriation in this section that represents the estimated value of the timber on the transferred properties by June 30, 2020, rather than June 30, 2019.</w:t>
      </w:r>
    </w:p>
    <w:p>
      <w:pPr>
        <w:spacing w:before="0" w:after="0" w:line="408" w:lineRule="exact"/>
        <w:ind w:left="0" w:right="0" w:firstLine="576"/>
        <w:jc w:val="left"/>
      </w:pPr>
      <w:r>
        <w:rPr/>
        <w:t xml:space="preserve">(2) Land within the common school trust must be exchanged for land of equal value held for other trust beneficiaries of the property identified in subsection (1) of section 3058, chapter 298, Laws of 2018 by June 30, 2020, rather than June 30, 2019.</w:t>
      </w:r>
    </w:p>
    <w:p>
      <w:pPr>
        <w:spacing w:before="0" w:after="0" w:line="408" w:lineRule="exact"/>
        <w:ind w:left="0" w:right="0" w:firstLine="576"/>
        <w:jc w:val="left"/>
      </w:pPr>
      <w:r>
        <w:rPr/>
        <w:t xml:space="preserve">(3) The state treasurer shall transfer to the common school construction account any unexpended balance of the appropriation in this section by June 30, 2020, rather than June 30,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$9,939,000</w:t>
      </w:r>
    </w:p>
    <w:p>
      <w:pPr>
        <w:spacing w:before="120" w:after="0" w:line="408" w:lineRule="exact"/>
        <w:ind w:left="0" w:right="0" w:firstLine="576"/>
        <w:jc w:val="left"/>
        <w:tabs>
          <w:tab w:val="right" w:leader="dot" w:pos="9936"/>
        </w:tabs>
      </w:pPr>
      <w:r>
        <w:rPr/>
        <w:t xml:space="preserve">Prior Biennia (Expenditures)</w:t>
      </w:r>
      <w:r>
        <w:tab/>
      </w:r>
      <w:r>
        <w:rPr/>
        <w:t xml:space="preserve">$61,000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$6,111,000</w:t>
      </w:r>
    </w:p>
    <w:p>
      <w:pPr>
        <w:spacing w:before="120" w:after="0" w:line="408" w:lineRule="exact"/>
        <w:ind w:left="0" w:right="0" w:firstLine="576"/>
        <w:jc w:val="left"/>
        <w:tabs>
          <w:tab w:val="right" w:leader="dot" w:pos="9936"/>
        </w:tabs>
      </w:pPr>
      <w:r>
        <w:rPr/>
        <w:t xml:space="preserve">Prior Biennia (Expenditures)</w:t>
      </w:r>
      <w:r>
        <w:tab/>
      </w:r>
      <w:r>
        <w:rPr/>
        <w:t xml:space="preserve">$6,889,000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2019-9H, developed April 27, 2019.</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2021,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because of high earthquake hazard and soils that amplify that hazard.</w:t>
      </w:r>
    </w:p>
    <w:p>
      <w:pPr>
        <w:spacing w:before="0" w:after="0" w:line="408" w:lineRule="exact"/>
        <w:ind w:left="0" w:right="0" w:firstLine="576"/>
        <w:jc w:val="left"/>
      </w:pPr>
      <w:r>
        <w:rPr/>
        <w:t xml:space="preserve">(2) The survey must be a representative sample of public facilities located in high priority areas as determined in the 2017-19 survey of public school seismic safety assessments and tsunami inundation zones as published by the department. The survey must use the results of the 2017-19 survey's findings to prioritize school buildings based on geologic and engineering results.</w:t>
      </w:r>
    </w:p>
    <w:p>
      <w:pPr>
        <w:spacing w:before="0" w:after="0" w:line="408" w:lineRule="exact"/>
        <w:ind w:left="0" w:right="0" w:firstLine="576"/>
        <w:jc w:val="left"/>
      </w:pPr>
      <w:r>
        <w:rPr/>
        <w:t xml:space="preserve">(3) The seismic safety surveys must be conducted for the following types of public facilities in the following order:</w:t>
      </w:r>
    </w:p>
    <w:p>
      <w:pPr>
        <w:spacing w:before="0" w:after="0" w:line="408" w:lineRule="exact"/>
        <w:ind w:left="0" w:right="0" w:firstLine="576"/>
        <w:jc w:val="left"/>
      </w:pPr>
      <w:r>
        <w:rPr/>
        <w:t xml:space="preserve">(a) A portion of public school facilities that are routinely used for the instruction of students in kindergarten through twelfth grade and in school districts that have held successful bond elections within the previous three years;</w:t>
      </w:r>
    </w:p>
    <w:p>
      <w:pPr>
        <w:spacing w:before="0" w:after="0" w:line="408" w:lineRule="exact"/>
        <w:ind w:left="0" w:right="0" w:firstLine="576"/>
        <w:jc w:val="left"/>
      </w:pPr>
      <w:r>
        <w:rPr/>
        <w:t xml:space="preserve">(b) A portion of the remaining public school facilities that are routinely used for the instruction of students in kindergarten through twelfth grade;</w:t>
      </w:r>
    </w:p>
    <w:p>
      <w:pPr>
        <w:spacing w:before="0" w:after="0" w:line="408" w:lineRule="exact"/>
        <w:ind w:left="0" w:right="0" w:firstLine="576"/>
        <w:jc w:val="left"/>
      </w:pPr>
      <w:r>
        <w:rPr/>
        <w:t xml:space="preserve">(c) Fire stations located within a one-mile radius of a facility described in (a) or (b) of this subsection.</w:t>
      </w:r>
    </w:p>
    <w:p>
      <w:pPr>
        <w:spacing w:before="0" w:after="0" w:line="408" w:lineRule="exact"/>
        <w:ind w:left="0" w:right="0" w:firstLine="576"/>
        <w:jc w:val="left"/>
      </w:pPr>
      <w:r>
        <w:rPr/>
        <w:t xml:space="preserve">(4) The department must coordinate and maximize survey efforts made under subsection (3)(a), (b), and (c) of this section whenever possible.</w:t>
      </w:r>
    </w:p>
    <w:p>
      <w:pPr>
        <w:spacing w:before="0" w:after="0" w:line="408" w:lineRule="exact"/>
        <w:ind w:left="0" w:right="0" w:firstLine="576"/>
        <w:jc w:val="left"/>
      </w:pPr>
      <w:r>
        <w:rPr/>
        <w:t xml:space="preserve">(5) The initial phase of the prioritized seismic needs assessment of the facilities specified in subsection (3)(a) and (b) of this section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a prioritized subset of the facilities specified in subsection (3)(a) and (b)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a prioritized subset of facilities specified in subsection (3)(c) of this section to immediate occupancy standards as defined by the American society of civil engineers.</w:t>
      </w:r>
    </w:p>
    <w:p>
      <w:pPr>
        <w:spacing w:before="0" w:after="0" w:line="408" w:lineRule="exact"/>
        <w:ind w:left="0" w:right="0" w:firstLine="576"/>
        <w:jc w:val="left"/>
      </w:pPr>
      <w:r>
        <w:rPr/>
        <w:t xml:space="preserve">(6) The department must collect and submit survey data to the superintendent of public instruction in a format compatible with the inventory and condition of schools database. The department must enter into an agreement with the superintendent of public instruction to make any necessary modifications to the inventory and condition of schools database to receive and report the survey data.</w:t>
      </w:r>
    </w:p>
    <w:p>
      <w:pPr>
        <w:spacing w:before="0" w:after="0" w:line="408" w:lineRule="exact"/>
        <w:ind w:left="0" w:right="0" w:firstLine="576"/>
        <w:jc w:val="left"/>
      </w:pPr>
      <w:r>
        <w:rPr/>
        <w:t xml:space="preserve">(7) The department must share that data with the school districts where the surveys were conducted, the schools where the surveys were conducted, the governor, and the appropriate legislative committees.</w:t>
      </w:r>
    </w:p>
    <w:p>
      <w:pPr>
        <w:spacing w:before="0" w:after="0" w:line="408" w:lineRule="exact"/>
        <w:ind w:left="0" w:right="0" w:firstLine="576"/>
        <w:jc w:val="left"/>
      </w:pPr>
      <w:r>
        <w:rPr/>
        <w:t xml:space="preserve">(8) The department and the office of the superintendent of public instruction must provide technical assistance to the school facilities sampled to incorporate survey information into their school safety plans.</w:t>
      </w:r>
    </w:p>
    <w:p>
      <w:pPr>
        <w:spacing w:before="0" w:after="0" w:line="408" w:lineRule="exact"/>
        <w:ind w:left="0" w:right="0" w:firstLine="576"/>
        <w:jc w:val="left"/>
      </w:pPr>
      <w:r>
        <w:rPr/>
        <w:t xml:space="preserve">(9) The statewide seismic needs assessment specified in this section shall be submitted to the office of financial management and the appropriate committees of the legislature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$550,000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City of Omak Fire Suppression Water Flow Infrastructure (91000102)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for a pool of eligible projects for predesign, design, or construction of facilities owned by the department of natural resources. The department may also use funding in this section for minor works preservation projects at facilities owned by the department.</w:t>
      </w:r>
    </w:p>
    <w:p>
      <w:pPr>
        <w:spacing w:before="0" w:after="0" w:line="408" w:lineRule="exact"/>
        <w:ind w:left="0" w:right="0" w:firstLine="576"/>
        <w:jc w:val="left"/>
      </w:pPr>
      <w:r>
        <w:rPr/>
        <w:t xml:space="preserve">(2) The following projects are the only projects eligible for predesign, design, or construction funding in this section: (a) Airway Heights Facility Replacement; (b) Belfair Fire and Work Center Replacement; (c) DNR Hangar Consolidation, Relocation, and Expansion; (d) Eatonville Consolidation and Expansion; (e) Forks Storm Water Repair; (f) Goldendale Fire Station Latrine and Shower Facility; (g) Husum Fire Station and Work Center Expansion and Renovation; (h) Port Angeles Storm Water Repair; (i) Purchase Replacement for Union Gap Fire Station; and (j) Sedro-Woolley Storm Water Repair.</w:t>
      </w:r>
    </w:p>
    <w:p>
      <w:pPr>
        <w:spacing w:before="0" w:after="0" w:line="408" w:lineRule="exact"/>
        <w:ind w:left="0" w:right="0" w:firstLine="576"/>
        <w:jc w:val="left"/>
      </w:pPr>
      <w:r>
        <w:rPr/>
        <w:t xml:space="preserve">(3) The department shall report to the governor and the appropriate committees of the legislature the final list of projects with funding levels, allotments, and schedules for the projects in this section by January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$529,333,000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$4,594,000</w:t>
      </w:r>
    </w:p>
    <w:p>
      <w:pPr>
        <w:spacing w:before="120" w:after="0" w:line="408" w:lineRule="exact"/>
        <w:ind w:left="0" w:right="0" w:firstLine="576"/>
        <w:jc w:val="left"/>
        <w:tabs>
          <w:tab w:val="right" w:leader="dot" w:pos="9936"/>
        </w:tabs>
      </w:pPr>
      <w:r>
        <w:rPr/>
        <w:t xml:space="preserve">Prior Biennia (Expenditures)</w:t>
      </w:r>
      <w:r>
        <w:tab/>
      </w:r>
      <w:r>
        <w:rPr/>
        <w:t xml:space="preserve">$382,788,000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$44,700,000</w:t>
      </w:r>
    </w:p>
    <w:p>
      <w:pPr>
        <w:spacing w:before="120" w:after="0" w:line="408" w:lineRule="exact"/>
        <w:ind w:left="0" w:right="0" w:firstLine="576"/>
        <w:jc w:val="left"/>
        <w:tabs>
          <w:tab w:val="right" w:leader="dot" w:pos="9936"/>
        </w:tabs>
      </w:pPr>
      <w:r>
        <w:rPr/>
        <w:t xml:space="preserve">Prior Biennia (Expenditures)</w:t>
      </w:r>
      <w:r>
        <w:tab/>
      </w:r>
      <w:r>
        <w:rPr/>
        <w:t xml:space="preserve">$509,931,000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$11,344,000</w:t>
      </w:r>
    </w:p>
    <w:p>
      <w:pPr>
        <w:spacing w:before="120" w:after="0" w:line="408" w:lineRule="exact"/>
        <w:ind w:left="0" w:right="0" w:firstLine="576"/>
        <w:jc w:val="left"/>
        <w:tabs>
          <w:tab w:val="right" w:leader="dot" w:pos="9936"/>
        </w:tabs>
      </w:pPr>
      <w:r>
        <w:rPr/>
        <w:t xml:space="preserve">Prior Biennia (Expenditures)</w:t>
      </w:r>
      <w:r>
        <w:tab/>
      </w:r>
      <w:r>
        <w:rPr/>
        <w:t xml:space="preserve">$1,656,000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$160,032,000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$1,042,053,000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$37,306,000</w:t>
      </w:r>
    </w:p>
    <w:p>
      <w:pPr>
        <w:tabs>
          <w:tab w:val="right" w:leader="dot" w:pos="9936"/>
        </w:tabs>
        <w:ind w:left="0" w:right="0" w:firstLine="1440"/>
      </w:pPr>
      <w:r>
        <w:rPr/>
        <w:t xml:space="preserve">TOTAL</w:t>
      </w:r>
      <w:r>
        <w:tab/>
      </w:r>
      <w:r>
        <w:rPr/>
        <w:t xml:space="preserve">$37,806,000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$5,240,000</w:t>
      </w:r>
    </w:p>
    <w:p>
      <w:pPr>
        <w:tabs>
          <w:tab w:val="right" w:leader="dot" w:pos="9936"/>
        </w:tabs>
        <w:ind w:left="0" w:right="0" w:firstLine="1440"/>
      </w:pPr>
      <w:r>
        <w:rPr/>
        <w:t xml:space="preserve">TOTAL</w:t>
      </w:r>
      <w:r>
        <w:tab/>
      </w:r>
      <w:r>
        <w:rPr/>
        <w:t xml:space="preserve">$5,386,000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of the appropriation is provided solely for automating the school construction assistance program grant application process, known as the "d-form process," in the inventory and condition of schools database with the following conditions and limitations:</w:t>
      </w:r>
    </w:p>
    <w:p>
      <w:pPr>
        <w:spacing w:before="0" w:after="0" w:line="408" w:lineRule="exact"/>
        <w:ind w:left="0" w:right="0" w:firstLine="576"/>
        <w:jc w:val="left"/>
      </w:pPr>
      <w:r>
        <w:rPr/>
        <w:t xml:space="preserve">(a) The school facilities and organization division of the office of the superintendent of public instruction, in consultation with the technical advisory committee defined in RCW 28A.525.025, must apply lean management principles and other performance management strategies to the d-form process prior to automating the process to reduce undue administrative burdens on school districts seeking state funding assistance for school construction; and</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the progress and implementation of automating the d-form process by December 1, 2020.</w:t>
      </w:r>
    </w:p>
    <w:p>
      <w:pPr>
        <w:spacing w:before="0" w:after="0" w:line="408" w:lineRule="exact"/>
        <w:ind w:left="0" w:right="0" w:firstLine="576"/>
        <w:jc w:val="left"/>
      </w:pPr>
      <w:r>
        <w:rPr/>
        <w:t xml:space="preserve">(2)(a) Within the remaining portion of the appropriation, the school facilities and organization division of the office of the superintendent of public instruction, in consultation with the technical advisory committee and the citizens advisory panel defined in RCW 28A.525.025, must apply lean management principles and other performance strategies to the study and survey process to reduce undue administrative burdens on school districts seeking state funding assistance for school construction.</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policy recommendations to streamline the study and survey process by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common school construction account</w:t>
      </w:r>
      <w:r>
        <w:rPr>
          <w:rFonts w:ascii="Times New Roman" w:hAnsi="Times New Roman"/>
        </w:rPr>
        <w:t xml:space="preserve">—</w:t>
      </w:r>
      <w:r>
        <w:rPr/>
        <w:t xml:space="preserve">state appropriation is provided solely for Washington Green Schools for planning and developing green stormwater infrastructure on public school properties that have been identified as needing to reduce stormwater runoff. The office must identify infrastructure project locations based on GIS mapping and must prioritize schools with high percentages of enrollments eligible for the free and reduced price meal program to provide equity of opportunity in high need communities. It is the intent of the legislature that these projects be used to engage students and be completed in conjunction with K-12 STEM education curriculum developed to meet next generation climate standards.</w:t>
      </w:r>
    </w:p>
    <w:p>
      <w:pPr>
        <w:spacing w:before="0" w:after="0" w:line="408" w:lineRule="exact"/>
        <w:ind w:left="0" w:right="0" w:firstLine="576"/>
        <w:jc w:val="left"/>
      </w:pPr>
      <w:r>
        <w:rPr/>
        <w:t xml:space="preserve">(2)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The remaining portion of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not be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$385,000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$20,866,000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 Laws of 2016 sp. sess., with the following exception: Before June 30, 2020, the superintendent must verify that projects receiving grant awards under this section are either in the design phase or under construction, or funding for those projects shall lapse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$109,454,000</w:t>
      </w:r>
    </w:p>
    <w:p>
      <w:pPr>
        <w:spacing w:before="120" w:after="0" w:line="408" w:lineRule="exact"/>
        <w:ind w:left="0" w:right="0" w:firstLine="576"/>
        <w:jc w:val="left"/>
        <w:tabs>
          <w:tab w:val="right" w:leader="dot" w:pos="9936"/>
        </w:tabs>
      </w:pPr>
      <w:r>
        <w:rPr/>
        <w:t xml:space="preserve">Prior Biennia (Expenditures)</w:t>
      </w:r>
      <w:r>
        <w:tab/>
      </w:r>
      <w:r>
        <w:rPr/>
        <w:t xml:space="preserve">$125,046,000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$1,000,000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only after the legislature approves the list.</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the Laser Interferometer Gravitational-Wave Observatory (LIGO) STEM Observatory in Richland,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The remaining portion of the appropriation is provided solely for competitive grants for modular classrooms made with mass timber products, including cross-laminated timber,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with highest percentage of mass timber products in the overall construction of the project; and</w:t>
      </w:r>
    </w:p>
    <w:p>
      <w:pPr>
        <w:spacing w:before="0" w:after="0" w:line="408" w:lineRule="exact"/>
        <w:ind w:left="0" w:right="0" w:firstLine="576"/>
        <w:jc w:val="left"/>
      </w:pPr>
      <w:r>
        <w:rPr/>
        <w:t xml:space="preserve">(iv) Projects that demonstrate multistory application of mass timber products.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$786,000</w:t>
      </w:r>
    </w:p>
    <w:p>
      <w:pPr>
        <w:spacing w:before="120" w:after="0" w:line="408" w:lineRule="exact"/>
        <w:ind w:left="0" w:right="0" w:firstLine="576"/>
        <w:jc w:val="left"/>
        <w:tabs>
          <w:tab w:val="right" w:leader="dot" w:pos="9936"/>
        </w:tabs>
      </w:pPr>
      <w:r>
        <w:rPr/>
        <w:t xml:space="preserve">Prior Biennia (Expenditures)</w:t>
      </w:r>
      <w:r>
        <w:tab/>
      </w:r>
      <w:r>
        <w:rPr/>
        <w:t xml:space="preserve">$214,000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At least ten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$2,343,000 of the appropriations in this section is provided solely for project and equipment costs associated with the space used by Cascadia college pursuant to subsection (2)(b) and (c) of this section.</w:t>
      </w:r>
    </w:p>
    <w:p>
      <w:pPr>
        <w:spacing w:before="0" w:after="0" w:line="408" w:lineRule="exact"/>
        <w:ind w:left="0" w:right="0" w:firstLine="576"/>
        <w:jc w:val="left"/>
      </w:pPr>
      <w:r>
        <w:rPr/>
        <w:t xml:space="preserve">(2) The remaining portion of the appropriations in this section is provided solely for a STEM building on the Bothell campus of the University of Washington to be shared jointly with Cascadia college with the following conditions and limitations:</w:t>
      </w:r>
    </w:p>
    <w:p>
      <w:pPr>
        <w:spacing w:before="0" w:after="0" w:line="408" w:lineRule="exact"/>
        <w:ind w:left="0" w:right="0" w:firstLine="576"/>
        <w:jc w:val="left"/>
      </w:pPr>
      <w:r>
        <w:rPr/>
        <w:t xml:space="preserve">(a) The University of Washington and Cascadia college must be tenants in common of the building constructed with this appropriation;</w:t>
      </w:r>
    </w:p>
    <w:p>
      <w:pPr>
        <w:spacing w:before="0" w:after="0" w:line="408" w:lineRule="exact"/>
        <w:ind w:left="0" w:right="0" w:firstLine="576"/>
        <w:jc w:val="left"/>
      </w:pPr>
      <w:r>
        <w:rPr/>
        <w:t xml:space="preserve">(b) The University of Washington and Cascadia college shall have joint, equal, and undivided authority in the governance of the design, construction, and operation of the building;</w:t>
      </w:r>
    </w:p>
    <w:p>
      <w:pPr>
        <w:spacing w:before="0" w:after="0" w:line="408" w:lineRule="exact"/>
        <w:ind w:left="0" w:right="0" w:firstLine="576"/>
        <w:jc w:val="left"/>
      </w:pPr>
      <w:r>
        <w:rPr/>
        <w:t xml:space="preserve">(c) Half of the assignable space constructed with this appropriation must be designed for and exclusively used by Cascadia college; and</w:t>
      </w:r>
    </w:p>
    <w:p>
      <w:pPr>
        <w:spacing w:before="0" w:after="0" w:line="408" w:lineRule="exact"/>
        <w:ind w:left="0" w:right="0" w:firstLine="576"/>
        <w:jc w:val="left"/>
      </w:pPr>
      <w:r>
        <w:rPr/>
        <w:t xml:space="preserve">(d) Cascadia college shall pay no rent or operations and maintenance expenses to the University of Washington for the space used by Cascadia college pursuant to (c) of this subsection.</w:t>
      </w:r>
    </w:p>
    <w:p>
      <w:pPr>
        <w:spacing w:before="0" w:after="0" w:line="408" w:lineRule="exact"/>
        <w:ind w:left="0" w:right="0" w:firstLine="576"/>
        <w:jc w:val="left"/>
      </w:pPr>
      <w:r>
        <w:rPr/>
        <w:t xml:space="preserve">(3) The building may be delivered using the design-build procedure for public works projects, as defined by chapter 39.10 RCW, with a guarantee for energy, operations, and maintenance performance. The term for performance guarantee must not be less than one year. Criteria for selecting the design-build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$75,938,000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$1,223,000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$19,975,000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$141,864,000</w:t>
      </w:r>
    </w:p>
    <w:p>
      <w:pPr>
        <w:tabs>
          <w:tab w:val="right" w:leader="dot" w:pos="9936"/>
        </w:tabs>
        <w:ind w:left="0" w:right="0" w:firstLine="1440"/>
      </w:pPr>
      <w:r>
        <w:rPr/>
        <w:t xml:space="preserve">TOTAL</w:t>
      </w:r>
      <w:r>
        <w:tab/>
      </w:r>
      <w:r>
        <w:rPr/>
        <w:t xml:space="preserve">$185,330,000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and design costs. If the bill is not enacted by June 30, 2019, the amount provided in this section shall lapse.</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geriatric/voluntary psychiatric beds, and fifty licensed medical/surgery beds, with the capacity to treat patients with psychiatric diagnoses and/or substance use disorders.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$10,500,000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Institute at Harborview Medical Center (910000025)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$6,124,000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$11,924,000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$26,213,000</w:t>
      </w:r>
    </w:p>
    <w:p>
      <w:pPr>
        <w:spacing w:before="120" w:after="0" w:line="408" w:lineRule="exact"/>
        <w:ind w:left="0" w:right="0" w:firstLine="576"/>
        <w:jc w:val="left"/>
        <w:tabs>
          <w:tab w:val="right" w:leader="dot" w:pos="9936"/>
        </w:tabs>
      </w:pPr>
      <w:r>
        <w:rPr/>
        <w:t xml:space="preserve">Prior Biennia (Expenditures)</w:t>
      </w:r>
      <w:r>
        <w:tab/>
      </w:r>
      <w:r>
        <w:rPr/>
        <w:t xml:space="preserve">$32,887,000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$5,328,000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$17,200,000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$7,937,000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$103,838,000</w:t>
      </w:r>
    </w:p>
    <w:p>
      <w:pPr>
        <w:tabs>
          <w:tab w:val="right" w:leader="dot" w:pos="9936"/>
        </w:tabs>
        <w:ind w:left="0" w:right="0" w:firstLine="1440"/>
      </w:pPr>
      <w:r>
        <w:rPr/>
        <w:t xml:space="preserve">TOTAL</w:t>
      </w:r>
      <w:r>
        <w:tab/>
      </w:r>
      <w:r>
        <w:rPr/>
        <w:t xml:space="preserve">$112,125,000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Infrastructure Master Plan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development of an innovative integrated infrastructure master plan at The Evergreen State College. The plan must detail a capital improvement strategy to transition the Olympia campus legacy infrastructure to a world-class set of integrated systems that supply highly reliable and optimized services for power, heat, clean water, wastewater, storm water, and solid waste.</w:t>
      </w:r>
    </w:p>
    <w:p>
      <w:pPr>
        <w:spacing w:before="0" w:after="0" w:line="408" w:lineRule="exact"/>
        <w:ind w:left="0" w:right="0" w:firstLine="576"/>
        <w:jc w:val="left"/>
      </w:pPr>
      <w:r>
        <w:rPr/>
        <w:t xml:space="preserve">(2) The infrastructure master plan may be developed by a consultant team selected through a design competition between private sector construction management firms experienced in performance contracting with the following conditions:</w:t>
      </w:r>
    </w:p>
    <w:p>
      <w:pPr>
        <w:spacing w:before="0" w:after="0" w:line="408" w:lineRule="exact"/>
        <w:ind w:left="0" w:right="0" w:firstLine="576"/>
        <w:jc w:val="left"/>
      </w:pPr>
      <w:r>
        <w:rPr/>
        <w:t xml:space="preserve">(a) No more than four firms may be selected to compete, and no more than three honoraria may be awarded to the unsuccessful competitors; and</w:t>
      </w:r>
    </w:p>
    <w:p>
      <w:pPr>
        <w:spacing w:before="0" w:after="0" w:line="408" w:lineRule="exact"/>
        <w:ind w:left="0" w:right="0" w:firstLine="576"/>
        <w:jc w:val="left"/>
      </w:pPr>
      <w:r>
        <w:rPr/>
        <w:t xml:space="preserve">(b) Criteria for selecting the consultant team may include, but is not limited to, the ability to create a plan that is affordable; creates greater resiliency, adaptability, and continuous improvement; and greater environmental performance.</w:t>
      </w:r>
    </w:p>
    <w:p>
      <w:pPr>
        <w:spacing w:before="0" w:after="0" w:line="408" w:lineRule="exact"/>
        <w:ind w:left="0" w:right="0" w:firstLine="576"/>
        <w:jc w:val="left"/>
      </w:pPr>
      <w:r>
        <w:rPr/>
        <w:t xml:space="preserve">(5) Any improvements to infrastructure from the infrastructure master plan must be maintained and operated by the staff of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$30,909,000</w:t>
      </w:r>
    </w:p>
    <w:p>
      <w:pPr>
        <w:tabs>
          <w:tab w:val="right" w:leader="dot" w:pos="9936"/>
        </w:tabs>
        <w:ind w:left="0" w:right="0" w:firstLine="1440"/>
      </w:pPr>
      <w:r>
        <w:rPr/>
        <w:t xml:space="preserve">TOTAL</w:t>
      </w:r>
      <w:r>
        <w:tab/>
      </w:r>
      <w:r>
        <w:rPr/>
        <w:t xml:space="preserve">$31,409,000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$4,866,000</w:t>
      </w:r>
    </w:p>
    <w:p>
      <w:pPr>
        <w:tabs>
          <w:tab w:val="right" w:leader="dot" w:pos="9936"/>
        </w:tabs>
        <w:ind w:left="0" w:right="0" w:firstLine="1440"/>
      </w:pPr>
      <w:r>
        <w:rPr/>
        <w:t xml:space="preserve">Subtotal Appropriation</w:t>
      </w:r>
      <w:r>
        <w:tab/>
      </w:r>
      <w:r>
        <w:rPr/>
        <w:t xml:space="preserve">$5,866,000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(91000034)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$2,079,000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 in this section is subject to the following conditions and limitations: The legislature intends to provide funding for both design and construction of this project in the 2021-2023 biennium. At least 10.0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$7,885,000</w:t>
      </w:r>
    </w:p>
    <w:p>
      <w:pPr>
        <w:spacing w:before="120" w:after="0" w:line="408" w:lineRule="exact"/>
        <w:ind w:left="0" w:right="0" w:firstLine="576"/>
        <w:jc w:val="left"/>
        <w:tabs>
          <w:tab w:val="right" w:leader="dot" w:pos="9936"/>
        </w:tabs>
      </w:pPr>
      <w:r>
        <w:rPr/>
        <w:t xml:space="preserve">Prior Biennia (Expenditures)</w:t>
      </w:r>
      <w:r>
        <w:tab/>
      </w:r>
      <w:r>
        <w:rPr/>
        <w:t xml:space="preserve">$1,101,000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$124,000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rPr/>
        <w:t xml:space="preserve">Fort Worden Public Development Authority - Sage Arts &amp;</w:t>
      </w:r>
    </w:p>
    <w:p>
      <w:pPr>
        <w:spacing w:before="0" w:after="0" w:line="408" w:lineRule="exact"/>
        <w:ind w:left="0" w:right="0" w:firstLine="1152"/>
        <w:jc w:val="left"/>
        <w:tabs>
          <w:tab w:val="right" w:leader="dot" w:pos="9936"/>
        </w:tabs>
      </w:pPr>
      <w:r>
        <w:rPr/>
        <w:t xml:space="preserve">Ed Ctr</w:t>
      </w:r>
      <w:r>
        <w:tab/>
      </w:r>
      <w:r>
        <w:rPr/>
        <w:t xml:space="preserve">$560,000</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$19,287,000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$48,403,000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$34,330,000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ind w:left="0" w:right="0" w:firstLine="576"/>
        <w:jc w:val="left"/>
        <w:tabs>
          <w:tab w:val="right" w:leader="dot" w:pos="9936"/>
        </w:tabs>
      </w:pPr>
      <w:r>
        <w:rPr/>
        <w:t xml:space="preserve">Prior Biennia (Expenditures)</w:t>
      </w:r>
      <w:r>
        <w:tab/>
      </w:r>
      <w:r>
        <w:rPr/>
        <w:t xml:space="preserve">$25,167,000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$3,480,000</w:t>
      </w:r>
    </w:p>
    <w:p>
      <w:pPr>
        <w:spacing w:before="120" w:after="0" w:line="408" w:lineRule="exact"/>
        <w:ind w:left="0" w:right="0" w:firstLine="576"/>
        <w:jc w:val="left"/>
        <w:tabs>
          <w:tab w:val="right" w:leader="dot" w:pos="9936"/>
        </w:tabs>
      </w:pPr>
      <w:r>
        <w:rPr/>
        <w:t xml:space="preserve">Prior Biennia (Expenditures)</w:t>
      </w:r>
      <w:r>
        <w:tab/>
      </w:r>
      <w:r>
        <w:rPr/>
        <w:t xml:space="preserve">$671,000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$441,000</w:t>
      </w:r>
    </w:p>
    <w:p>
      <w:pPr>
        <w:spacing w:before="120" w:after="0" w:line="408" w:lineRule="exact"/>
        <w:ind w:left="0" w:right="0" w:firstLine="576"/>
        <w:jc w:val="left"/>
        <w:tabs>
          <w:tab w:val="right" w:leader="dot" w:pos="9936"/>
        </w:tabs>
      </w:pPr>
      <w:r>
        <w:rPr/>
        <w:t xml:space="preserve">Prior Biennia (Expenditures)</w:t>
      </w:r>
      <w:r>
        <w:tab/>
      </w:r>
      <w:r>
        <w:rPr/>
        <w:t xml:space="preserve">$29,877,000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$5,494,000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$3,835,000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$12,268,000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$27,244,000</w:t>
      </w:r>
    </w:p>
    <w:p>
      <w:pPr>
        <w:spacing w:before="120" w:after="0" w:line="408" w:lineRule="exact"/>
        <w:ind w:left="0" w:right="0" w:firstLine="576"/>
        <w:jc w:val="left"/>
        <w:tabs>
          <w:tab w:val="right" w:leader="dot" w:pos="9936"/>
        </w:tabs>
      </w:pPr>
      <w:r>
        <w:rPr/>
        <w:t xml:space="preserve">Prior Biennia (Expenditures)</w:t>
      </w:r>
      <w:r>
        <w:tab/>
      </w:r>
      <w:r>
        <w:rPr/>
        <w:t xml:space="preserve">$9,530,000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$13,330,000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$14,119,000</w:t>
      </w:r>
    </w:p>
    <w:p>
      <w:pPr>
        <w:spacing w:before="120" w:after="0" w:line="408" w:lineRule="exact"/>
        <w:ind w:left="0" w:right="0" w:firstLine="576"/>
        <w:jc w:val="left"/>
        <w:tabs>
          <w:tab w:val="right" w:leader="dot" w:pos="9936"/>
        </w:tabs>
      </w:pPr>
      <w:r>
        <w:rPr/>
        <w:t xml:space="preserve">Prior Biennia (Expenditures)</w:t>
      </w:r>
      <w:r>
        <w:tab/>
      </w:r>
      <w:r>
        <w:rPr/>
        <w:t xml:space="preserve">$14,387,000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$17,490,000</w:t>
      </w:r>
    </w:p>
    <w:p>
      <w:pPr>
        <w:spacing w:before="120" w:after="0" w:line="408" w:lineRule="exact"/>
        <w:ind w:left="0" w:right="0" w:firstLine="576"/>
        <w:jc w:val="left"/>
        <w:tabs>
          <w:tab w:val="right" w:leader="dot" w:pos="9936"/>
        </w:tabs>
      </w:pPr>
      <w:r>
        <w:rPr/>
        <w:t xml:space="preserve">Prior Biennia (Expenditures)</w:t>
      </w:r>
      <w:r>
        <w:tab/>
      </w:r>
      <w:r>
        <w:rPr/>
        <w:t xml:space="preserve">$9,663,000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$230,000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$36,642,000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$3,419,000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$21,703,000</w:t>
      </w:r>
    </w:p>
    <w:p>
      <w:pPr>
        <w:tabs>
          <w:tab w:val="right" w:leader="dot" w:pos="9936"/>
        </w:tabs>
        <w:ind w:left="0" w:right="0" w:firstLine="1440"/>
      </w:pPr>
      <w:r>
        <w:rPr/>
        <w:t xml:space="preserve">TOTAL</w:t>
      </w:r>
      <w:r>
        <w:tab/>
      </w:r>
      <w:r>
        <w:rPr/>
        <w:t xml:space="preserve">$24,255,000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College: Suite 140 Medical Assistant Tenant Improvements (91000432)</w:t>
      </w:r>
    </w:p>
    <w:p>
      <w:pPr>
        <w:spacing w:before="0" w:after="0" w:line="408" w:lineRule="exact"/>
        <w:ind w:left="0" w:right="0" w:firstLine="576"/>
        <w:jc w:val="left"/>
      </w:pPr>
      <w:r>
        <w:rPr/>
        <w:t xml:space="preserve">The appropriations in this section are subject to the following conditions and limitations: The appropriation in this section is provided solely for tenant improvements for suite 140 for the medical assistant program at Seattle Central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t>((</w:t>
      </w:r>
      <w:r>
        <w:rPr>
          <w:strike/>
        </w:rPr>
        <w:t xml:space="preserve">Isaacs Avenue Improvements - Phase 2 (Walla Walla)</w:t>
      </w:r>
      <w:r>
        <w:tab/>
      </w:r>
      <w:r>
        <w:rPr>
          <w:strike/>
        </w:rPr>
        <w:t xml:space="preserve">$3,962,000</w:t>
      </w:r>
      <w:r>
        <w:t>))</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t>((</w:t>
      </w:r>
      <w:r>
        <w:rPr>
          <w:strike/>
        </w:rPr>
        <w:t xml:space="preserve">Landslide Repairs (Aberdeen)</w:t>
      </w:r>
      <w:r>
        <w:tab/>
      </w:r>
      <w:r>
        <w:rPr>
          <w:strike/>
        </w:rPr>
        <w:t xml:space="preserve">$373,000</w:t>
      </w:r>
      <w:r>
        <w:t>))</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t>((</w:t>
      </w:r>
      <w:r>
        <w:rPr>
          <w:strike/>
        </w:rPr>
        <w:t xml:space="preserve">NE 10th Avenue (Clark)</w:t>
      </w:r>
      <w:r>
        <w:tab/>
      </w:r>
      <w:r>
        <w:rPr>
          <w:strike/>
        </w:rPr>
        <w:t xml:space="preserve">$10,000,000</w:t>
      </w:r>
      <w:r>
        <w:t>))</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t>((</w:t>
      </w:r>
      <w:r>
        <w:rPr>
          <w:strike/>
        </w:rPr>
        <w:t xml:space="preserve">Slater Road/Jordan Creek Fish Passage Project</w:t>
      </w:r>
    </w:p>
    <w:p>
      <w:pPr>
        <w:spacing w:before="0" w:after="0" w:line="408" w:lineRule="exact"/>
        <w:ind w:left="0" w:right="0" w:firstLine="1152"/>
        <w:jc w:val="left"/>
        <w:tabs>
          <w:tab w:val="right" w:leader="dot" w:pos="9936"/>
        </w:tabs>
      </w:pPr>
      <w:r>
        <w:rPr>
          <w:strike/>
        </w:rPr>
        <w:t xml:space="preserve">(Whatcom)</w:t>
      </w:r>
      <w:r>
        <w:tab/>
      </w:r>
      <w:r>
        <w:rPr>
          <w:strike/>
        </w:rPr>
        <w:t xml:space="preserve">$5,000,000</w:t>
      </w:r>
      <w:r>
        <w:t>))</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t>((</w:t>
      </w:r>
      <w:r>
        <w:rPr>
          <w:strike/>
        </w:rPr>
        <w:t xml:space="preserve">$1,028,000</w:t>
      </w:r>
      <w:r>
        <w:t>))</w:t>
      </w:r>
      <w:r>
        <w:rPr/>
        <w:t xml:space="preserve"> </w:t>
      </w:r>
      <w:r>
        <w:rPr>
          <w:u w:val="single"/>
        </w:rPr>
        <w:t xml:space="preserve">$480,000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$97,103,000</w:t>
      </w:r>
      <w:r>
        <w:t>))</w:t>
      </w:r>
    </w:p>
    <w:p>
      <w:pPr>
        <w:spacing w:before="0" w:after="0" w:line="408" w:lineRule="exact"/>
        <w:ind w:left="0" w:right="0" w:firstLine="0"/>
        <w:jc w:val="left"/>
        <w:tabs>
          <w:tab w:val="right" w:leader="none" w:pos="9936"/>
        </w:tabs>
      </w:pPr>
      <w:r>
        <w:tab/>
      </w:r>
      <w:r>
        <w:rPr>
          <w:u w:val="single"/>
        </w:rPr>
        <w:t xml:space="preserve">$77,220,000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$97,103,000</w:t>
      </w:r>
    </w:p>
    <w:p>
      <w:pPr>
        <w:tabs>
          <w:tab w:val="right" w:leader="none" w:pos="9936"/>
        </w:tabs>
        <w:ind w:left="0" w:right="0" w:firstLine="1440"/>
      </w:pPr>
      <w:r>
        <w:tab/>
      </w:r>
      <w:r>
        <w:rPr>
          <w:u w:val="single"/>
        </w:rPr>
        <w:t xml:space="preserve">$77,220,000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u w:val="single"/>
        </w:rPr>
        <w:t xml:space="preserve">Centennial Connect Project (Marysville)</w:t>
      </w:r>
      <w:r>
        <w:tab/>
      </w:r>
      <w:r>
        <w:rPr>
          <w:u w:val="single"/>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$750,000</w:t>
      </w:r>
      <w:r>
        <w:t>))</w:t>
      </w:r>
      <w:r>
        <w:rPr/>
        <w:t xml:space="preserve"> </w:t>
      </w:r>
      <w:r>
        <w:rPr>
          <w:u w:val="single"/>
        </w:rPr>
        <w:t xml:space="preserve">$1,250,000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w:t>
      </w:r>
      <w:r>
        <w:t>((</w:t>
      </w:r>
      <w:r>
        <w:rPr>
          <w:strike/>
        </w:rPr>
        <w:t xml:space="preserve">$750,000</w:t>
      </w:r>
      <w:r>
        <w:t>))</w:t>
      </w:r>
      <w:r>
        <w:rPr/>
        <w:t xml:space="preserve"> </w:t>
      </w:r>
      <w:r>
        <w:rPr>
          <w:u w:val="single"/>
        </w:rPr>
        <w:t xml:space="preserve">$1,250,000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$129,799,000</w:t>
      </w:r>
      <w:r>
        <w:t>))</w:t>
      </w:r>
    </w:p>
    <w:p>
      <w:pPr>
        <w:spacing w:before="0" w:after="0" w:line="408" w:lineRule="exact"/>
        <w:ind w:left="0" w:right="0" w:firstLine="0"/>
        <w:jc w:val="left"/>
        <w:tabs>
          <w:tab w:val="right" w:leader="none" w:pos="9936"/>
        </w:tabs>
      </w:pPr>
      <w:r>
        <w:tab/>
      </w:r>
      <w:r>
        <w:rPr>
          <w:u w:val="single"/>
        </w:rPr>
        <w:t xml:space="preserve">$130,941,000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$129,799,000</w:t>
      </w:r>
    </w:p>
    <w:p>
      <w:pPr>
        <w:tabs>
          <w:tab w:val="right" w:leader="none" w:pos="9936"/>
        </w:tabs>
        <w:ind w:left="0" w:right="0" w:firstLine="1440"/>
      </w:pPr>
      <w:r>
        <w:tab/>
      </w:r>
      <w:r>
        <w:rPr>
          <w:u w:val="single"/>
        </w:rPr>
        <w:t xml:space="preserve">$130,941,000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and consideration must be given to programs that incorporate outreach and treatment for youth dealing with mental health or social isolation issues. </w:t>
      </w:r>
      <w:r>
        <w:rPr>
          <w:u w:val="single"/>
        </w:rPr>
        <w:t xml:space="preserve">The department of commerce may approve funding for the acquisition of a facility or land if the project results in increased capacity.</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 or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the health care authority,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$49,600,000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$4,000,000 is provided solely for at least two facilities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$12,700,000 is provided solely for crisis diversion or stabilization facilities that are not subject to federal funding restrictions that apply to institutions of mental diseases. At least two of the facilities must be located in King county and one must be located in Pierce county. The facility in Pierce county shall receive no less than $3,200,000;</w:t>
      </w:r>
    </w:p>
    <w:p>
      <w:pPr>
        <w:spacing w:before="0" w:after="0" w:line="408" w:lineRule="exact"/>
        <w:ind w:left="0" w:right="0" w:firstLine="576"/>
        <w:jc w:val="left"/>
      </w:pPr>
      <w:r>
        <w:rPr/>
        <w:t xml:space="preserve">(e) $12,700,000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health care authority,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or the entity that assumes the responsibilities of the behavioral health organization pursuant to RCW 71.24.380;</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or the entity that assumes the responsibilities of the behavioral health organization pursuant to RCW 71.24.380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t xml:space="preserve">(i) The funding must be used to increase capacity related to serving children and minor youth with behavioral health needs;</w:t>
      </w:r>
    </w:p>
    <w:p>
      <w:pPr>
        <w:spacing w:before="0" w:after="0" w:line="408" w:lineRule="exact"/>
        <w:ind w:left="0" w:right="0" w:firstLine="576"/>
        <w:jc w:val="left"/>
      </w:pPr>
      <w:r>
        <w:rPr/>
        <w:t xml:space="preserve">(ii) The facility is not subject to federal funding restrictions that apply to institutions of mental diseases; and</w:t>
      </w:r>
    </w:p>
    <w:p>
      <w:pPr>
        <w:spacing w:before="0" w:after="0" w:line="408" w:lineRule="exact"/>
        <w:ind w:left="0" w:right="0" w:firstLine="576"/>
        <w:jc w:val="left"/>
      </w:pPr>
      <w:r>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(h) $2,000,000 is provided solely for competitive community behavioral health grants.</w:t>
      </w:r>
    </w:p>
    <w:p>
      <w:pPr>
        <w:spacing w:before="0" w:after="0" w:line="408" w:lineRule="exact"/>
        <w:ind w:left="0" w:right="0" w:firstLine="576"/>
        <w:jc w:val="left"/>
      </w:pPr>
      <w:r>
        <w:rPr/>
        <w:t xml:space="preserve">(4) </w:t>
      </w:r>
      <w:r>
        <w:t>((</w:t>
      </w:r>
      <w:r>
        <w:rPr>
          <w:strike/>
        </w:rPr>
        <w:t xml:space="preserve">$35,276,000</w:t>
      </w:r>
      <w:r>
        <w:t>))</w:t>
      </w:r>
      <w:r>
        <w:rPr/>
        <w:t xml:space="preserve"> </w:t>
      </w:r>
      <w:r>
        <w:rPr>
          <w:u w:val="single"/>
        </w:rPr>
        <w:t xml:space="preserve">$34,776,000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North Sound Stabilization Campus (Sedro-Woolley)</w:t>
      </w:r>
      <w:r>
        <w:tab/>
      </w:r>
      <w:r>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t xml:space="preserve">Skagit Triage Expansion (Mount Vernon)</w:t>
      </w:r>
      <w:r>
        <w:tab/>
      </w:r>
      <w:r>
        <w:rPr/>
        <w:t xml:space="preserve">$326,000</w:t>
      </w:r>
    </w:p>
    <w:p>
      <w:pPr>
        <w:spacing w:before="0" w:after="0" w:line="408" w:lineRule="exact"/>
        <w:ind w:left="0" w:right="0" w:firstLine="576"/>
        <w:jc w:val="left"/>
        <w:tabs>
          <w:tab w:val="right" w:leader="dot" w:pos="9936"/>
        </w:tabs>
      </w:pPr>
      <w:r>
        <w:rPr/>
        <w:t xml:space="preserve">Spokane Jail Diversion</w:t>
      </w:r>
      <w:r>
        <w:tab/>
      </w:r>
      <w:r>
        <w:rPr/>
        <w:t xml:space="preserve">$2,400,000</w:t>
      </w:r>
    </w:p>
    <w:p>
      <w:pPr>
        <w:spacing w:before="0" w:after="0" w:line="408" w:lineRule="exact"/>
        <w:ind w:left="0" w:right="0" w:firstLine="576"/>
        <w:jc w:val="left"/>
        <w:tabs>
          <w:tab w:val="right" w:leader="dot" w:pos="9936"/>
        </w:tabs>
      </w:pPr>
      <w:r>
        <w:rPr/>
        <w:t xml:space="preserve">Tri-county Detox and Crisis Center</w:t>
      </w:r>
      <w:r>
        <w:tab/>
      </w:r>
      <w:r>
        <w:rPr/>
        <w:t xml:space="preserve">$4,000,000</w:t>
      </w:r>
    </w:p>
    <w:p>
      <w:pPr>
        <w:spacing w:before="0" w:after="0" w:line="408" w:lineRule="exact"/>
        <w:ind w:left="0" w:right="0" w:firstLine="576"/>
        <w:jc w:val="left"/>
        <w:tabs>
          <w:tab w:val="right" w:leader="dot" w:pos="9936"/>
        </w:tabs>
      </w:pPr>
      <w:r>
        <w:rPr/>
        <w:t xml:space="preserve">Toppenish Hospital</w:t>
      </w:r>
      <w:r>
        <w:tab/>
      </w:r>
      <w:r>
        <w:t>((</w:t>
      </w:r>
      <w:r>
        <w:rPr>
          <w:strike/>
        </w:rPr>
        <w:t xml:space="preserve">$1,000,000</w:t>
      </w:r>
      <w:r>
        <w:t>))</w:t>
      </w:r>
      <w:r>
        <w:rPr/>
        <w:t xml:space="preserve"> </w:t>
      </w:r>
      <w:r>
        <w:rPr>
          <w:u w:val="single"/>
        </w:rPr>
        <w:t xml:space="preserve">$500,000</w:t>
      </w:r>
    </w:p>
    <w:p>
      <w:pPr>
        <w:spacing w:before="0" w:after="0" w:line="408" w:lineRule="exact"/>
        <w:ind w:left="0" w:right="0" w:firstLine="576"/>
        <w:jc w:val="left"/>
      </w:pPr>
      <w:r>
        <w:rPr/>
        <w:t xml:space="preserve">(5) $3,000,000 is provided solely for the Evergreen treatment services building purchase, contingent on matching funds.</w:t>
      </w:r>
    </w:p>
    <w:p>
      <w:pPr>
        <w:spacing w:before="0" w:after="0" w:line="408" w:lineRule="exact"/>
        <w:ind w:left="0" w:right="0" w:firstLine="576"/>
        <w:jc w:val="left"/>
      </w:pPr>
      <w:r>
        <w:rPr/>
        <w:t xml:space="preserve">(6)(a)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(b)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(7)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0" w:after="0" w:line="408" w:lineRule="exact"/>
        <w:ind w:left="0" w:right="0" w:firstLine="576"/>
        <w:jc w:val="left"/>
      </w:pPr>
      <w:r>
        <w:rPr>
          <w:u w:val="single"/>
        </w:rPr>
        <w:t xml:space="preserve">(9) The department must strive to allocate all of the amounts appropriated within subsection (3) of this section in the manner prescribed. However, if upon review of applications, the department determines that there are not adequate suitable projects in a category, the department may allocate funds to other behavioral health capacity project categories within subsection (3) of this section, prioritizing projects in unserved areas of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$90,876,000</w:t>
      </w:r>
      <w:r>
        <w:t>))</w:t>
      </w:r>
    </w:p>
    <w:p>
      <w:pPr>
        <w:spacing w:before="0" w:after="0" w:line="408" w:lineRule="exact"/>
        <w:ind w:left="0" w:right="0" w:firstLine="0"/>
        <w:jc w:val="left"/>
        <w:tabs>
          <w:tab w:val="right" w:leader="none" w:pos="9936"/>
        </w:tabs>
      </w:pPr>
      <w:r>
        <w:tab/>
      </w:r>
      <w:r>
        <w:rPr>
          <w:u w:val="single"/>
        </w:rPr>
        <w:t xml:space="preserve">$90,376,000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$90,876,000</w:t>
      </w:r>
    </w:p>
    <w:p>
      <w:pPr>
        <w:tabs>
          <w:tab w:val="right" w:leader="none" w:pos="9936"/>
        </w:tabs>
        <w:ind w:left="0" w:right="0" w:firstLine="1440"/>
      </w:pPr>
      <w:r>
        <w:tab/>
      </w:r>
      <w:r>
        <w:rPr>
          <w:u w:val="single"/>
        </w:rPr>
        <w:t xml:space="preserve">$90,376,000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$58,000,000</w:t>
      </w:r>
      <w:r>
        <w:t>))</w:t>
      </w:r>
      <w:r>
        <w:rPr/>
        <w:t xml:space="preserve"> </w:t>
      </w:r>
      <w:r>
        <w:rPr>
          <w:u w:val="single"/>
        </w:rPr>
        <w:t xml:space="preserve">$83,500,000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$44,131,000</w:t>
      </w:r>
      <w:r>
        <w:t>))</w:t>
      </w:r>
      <w:r>
        <w:rPr/>
        <w:t xml:space="preserve"> </w:t>
      </w:r>
      <w:r>
        <w:rPr>
          <w:u w:val="single"/>
        </w:rPr>
        <w:t xml:space="preserve">$19,631,000</w:t>
      </w:r>
      <w:r>
        <w:rPr/>
        <w:t xml:space="preserve">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 of the state taxable building construction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a nonprofit, public development authority, local government, or housing authority to</w:t>
      </w:r>
      <w:r>
        <w:t>))</w:t>
      </w:r>
      <w:r>
        <w:rPr/>
        <w:t xml:space="preserve"> </w:t>
      </w:r>
      <w:r>
        <w:rPr>
          <w:u w:val="single"/>
        </w:rPr>
        <w:t xml:space="preserve">the</w:t>
      </w:r>
      <w:r>
        <w:rPr/>
        <w:t xml:space="preserve"> purchase </w:t>
      </w:r>
      <w:r>
        <w:rPr>
          <w:u w:val="single"/>
        </w:rPr>
        <w:t xml:space="preserve">of</w:t>
      </w:r>
      <w:r>
        <w:rPr/>
        <w:t xml:space="preserve"> the </w:t>
      </w:r>
      <w:r>
        <w:rPr>
          <w:u w:val="single"/>
        </w:rPr>
        <w:t xml:space="preserve">three</w:t>
      </w:r>
      <w:r>
        <w:rPr/>
        <w:t xml:space="preserve"> south annex properties</w:t>
      </w:r>
      <w:r>
        <w:rPr>
          <w:u w:val="single"/>
        </w:rPr>
        <w:t xml:space="preserve">. The state board for community and technical colleges must transfer the three south annex properties</w:t>
      </w:r>
      <w:r>
        <w:rPr/>
        <w:t xml:space="preserve"> located at </w:t>
      </w:r>
      <w:r>
        <w:t>((</w:t>
      </w:r>
      <w:r>
        <w:rPr>
          <w:strike/>
        </w:rPr>
        <w:t xml:space="preserve">1531</w:t>
      </w:r>
      <w:r>
        <w:t>))</w:t>
      </w:r>
      <w:r>
        <w:rPr/>
        <w:t xml:space="preserve"> </w:t>
      </w:r>
      <w:r>
        <w:rPr>
          <w:u w:val="single"/>
        </w:rPr>
        <w:t xml:space="preserve">1530</w:t>
      </w:r>
      <w:r>
        <w:rPr/>
        <w:t xml:space="preserve"> Broadway, 1534 Broadway, and 909 East Pine street </w:t>
      </w:r>
      <w:r>
        <w:t>((</w:t>
      </w:r>
      <w:r>
        <w:rPr>
          <w:strike/>
        </w:rPr>
        <w:t xml:space="preserve">owned by the state board of community and technical colleges. The property must be used to provide services and housing for homeless youth and young adults</w:t>
      </w:r>
      <w:r>
        <w:t>))</w:t>
      </w:r>
      <w:r>
        <w:rPr/>
        <w:t xml:space="preserve"> </w:t>
      </w:r>
      <w:r>
        <w:rPr>
          <w:u w:val="single"/>
        </w:rPr>
        <w:t xml:space="preserve">to one or more nonprofits or public development authorities selected by the department, if the selected entities agree to use the properties to provide services and housing for homeless youth or young adults for a minimum of twenty-five years. The transfer agreement between the state board for community and technical colleges and the selected entities must specify a mutually agreed transfer date and require the selected entities to cover any closing costs with a total purchase price of nine million dollars for all three properties</w:t>
      </w:r>
      <w:r>
        <w:rPr/>
        <w:t xml:space="preserve">.</w:t>
      </w:r>
    </w:p>
    <w:p>
      <w:pPr>
        <w:spacing w:before="0" w:after="0" w:line="408" w:lineRule="exact"/>
        <w:ind w:left="0" w:right="0" w:firstLine="576"/>
        <w:jc w:val="left"/>
      </w:pPr>
      <w:r>
        <w:rPr/>
        <w:t xml:space="preserve">(f) </w:t>
      </w:r>
      <w:r>
        <w:t>((</w:t>
      </w:r>
      <w:r>
        <w:rPr>
          <w:strike/>
        </w:rPr>
        <w:t xml:space="preserve">$26,006,000</w:t>
      </w:r>
      <w:r>
        <w:t>))</w:t>
      </w:r>
      <w:r>
        <w:rPr/>
        <w:t xml:space="preserve"> </w:t>
      </w:r>
      <w:r>
        <w:rPr>
          <w:u w:val="single"/>
        </w:rPr>
        <w:t xml:space="preserve">$25,506,000</w:t>
      </w:r>
      <w:r>
        <w:rPr/>
        <w:t xml:space="preserve"> is provided solely for the following list of housing projects:</w:t>
      </w:r>
    </w:p>
    <w:p>
      <w:pPr>
        <w:spacing w:before="0" w:after="0" w:line="408" w:lineRule="exact"/>
        <w:ind w:left="0" w:right="0" w:firstLine="576"/>
        <w:jc w:val="left"/>
      </w:pPr>
      <w:r>
        <w:rPr/>
        <w:t xml:space="preserve">(i) </w:t>
      </w:r>
      <w:r>
        <w:t>((</w:t>
      </w:r>
      <w:r>
        <w:rPr>
          <w:strike/>
        </w:rPr>
        <w:t xml:space="preserve">Cross Laminated Timber</w:t>
      </w:r>
      <w:r>
        <w:t>))</w:t>
      </w:r>
      <w:r>
        <w:rPr/>
        <w:t xml:space="preserve"> Spokane Housing</w:t>
      </w:r>
    </w:p>
    <w:p>
      <w:pPr>
        <w:spacing w:before="0" w:after="0" w:line="408" w:lineRule="exact"/>
        <w:ind w:left="0" w:right="0" w:firstLine="1152"/>
        <w:jc w:val="left"/>
        <w:tabs>
          <w:tab w:val="right" w:leader="dot" w:pos="9936"/>
        </w:tabs>
      </w:pPr>
      <w:r>
        <w:rPr/>
        <w:t xml:space="preserve">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w:t>
      </w:r>
      <w:r>
        <w:t>((</w:t>
      </w:r>
      <w:r>
        <w:rPr>
          <w:strike/>
        </w:rPr>
        <w:t xml:space="preserve">$2,500,000</w:t>
      </w:r>
      <w:r>
        <w:t>))</w:t>
      </w:r>
      <w:r>
        <w:rPr/>
        <w:t xml:space="preserve"> </w:t>
      </w:r>
      <w:r>
        <w:rPr>
          <w:u w:val="single"/>
        </w:rPr>
        <w:t xml:space="preserve">$2,000,000</w:t>
      </w:r>
      <w:r>
        <w:rPr/>
        <w:t xml:space="preserve"> is provided solely for </w:t>
      </w:r>
      <w:r>
        <w:t>((</w:t>
      </w:r>
      <w:r>
        <w:rPr>
          <w:strike/>
        </w:rPr>
        <w:t xml:space="preserve">grants to purchase low-income mobile home parks. Up to $2,500,000 is for the Firs Mobile Home Park. If the Firs Mobile Home Park is not purchased, the amount provided in this subsection shall lapse.</w:t>
      </w:r>
      <w:r>
        <w:t>))</w:t>
      </w:r>
      <w:r>
        <w:rPr/>
        <w:t xml:space="preserve"> </w:t>
      </w:r>
      <w:r>
        <w:rPr>
          <w:u w:val="single"/>
        </w:rPr>
        <w:t xml:space="preserve">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$44,131,000</w:t>
      </w:r>
      <w:r>
        <w:t>))</w:t>
      </w:r>
    </w:p>
    <w:p>
      <w:pPr>
        <w:spacing w:before="0" w:after="0" w:line="408" w:lineRule="exact"/>
        <w:ind w:left="0" w:right="0" w:firstLine="0"/>
        <w:jc w:val="left"/>
        <w:tabs>
          <w:tab w:val="right" w:leader="none" w:pos="9936"/>
        </w:tabs>
      </w:pPr>
      <w:r>
        <w:tab/>
      </w:r>
      <w:r>
        <w:rPr>
          <w:u w:val="single"/>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t>((</w:t>
      </w:r>
      <w:r>
        <w:rPr>
          <w:strike/>
        </w:rPr>
        <w:t xml:space="preserve">$110,789,000</w:t>
      </w:r>
      <w:r>
        <w:t>))</w:t>
      </w:r>
    </w:p>
    <w:p>
      <w:pPr>
        <w:spacing w:before="0" w:after="0" w:line="408" w:lineRule="exact"/>
        <w:ind w:left="0" w:right="0" w:firstLine="0"/>
        <w:jc w:val="left"/>
        <w:tabs>
          <w:tab w:val="right" w:leader="none" w:pos="9936"/>
        </w:tabs>
      </w:pPr>
      <w:r>
        <w:tab/>
      </w:r>
      <w:r>
        <w:rPr>
          <w:u w:val="single"/>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$510,789,000</w:t>
      </w:r>
    </w:p>
    <w:p>
      <w:pPr>
        <w:spacing w:before="0" w:after="0" w:line="408" w:lineRule="exact"/>
        <w:ind w:left="0" w:right="0" w:firstLine="0"/>
        <w:jc w:val="left"/>
        <w:tabs>
          <w:tab w:val="right" w:leader="none" w:pos="9936"/>
        </w:tabs>
      </w:pPr>
      <w:r>
        <w:tab/>
      </w:r>
      <w:r>
        <w:rPr>
          <w:u w:val="single"/>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w:t>
      </w:r>
      <w:r>
        <w:t>((</w:t>
      </w:r>
      <w:r>
        <w:rPr>
          <w:strike/>
        </w:rPr>
        <w:t xml:space="preserve">at least five hundred</w:t>
      </w:r>
      <w:r>
        <w:t>))</w:t>
      </w:r>
      <w:r>
        <w:rPr/>
        <w:t xml:space="preserve"> </w:t>
      </w:r>
      <w:r>
        <w:rPr>
          <w:u w:val="single"/>
        </w:rPr>
        <w:t xml:space="preserve">more than one hundred</w:t>
      </w:r>
      <w:r>
        <w:rPr/>
        <w:t xml:space="preserve"> kilowatts of direct current generating capacity.</w:t>
      </w:r>
    </w:p>
    <w:p>
      <w:pPr>
        <w:spacing w:before="0" w:after="0" w:line="408" w:lineRule="exact"/>
        <w:ind w:left="0" w:right="0" w:firstLine="576"/>
        <w:jc w:val="left"/>
      </w:pPr>
      <w:r>
        <w:rPr/>
        <w:t xml:space="preserve">(c) </w:t>
      </w:r>
      <w:r>
        <w:rPr>
          <w:u w:val="single"/>
        </w:rPr>
        <w:t xml:space="preserve">Except as provided in (d) of this subsection, g</w:t>
      </w:r>
      <w:r>
        <w:rPr/>
        <w:t xml:space="preserve">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w:t>
      </w:r>
      <w:r>
        <w:t>((</w:t>
      </w:r>
      <w:r>
        <w:rPr>
          <w:strike/>
        </w:rPr>
        <w:t xml:space="preserve">25</w:t>
      </w:r>
      <w:r>
        <w:t>))</w:t>
      </w:r>
      <w:r>
        <w:rPr/>
        <w:t xml:space="preserve"> </w:t>
      </w:r>
      <w:r>
        <w:rPr>
          <w:u w:val="single"/>
        </w:rPr>
        <w:t xml:space="preserve">35</w:t>
      </w:r>
      <w:r>
        <w:rPr/>
        <w:t xml:space="preserve"> percent of the total allocation of a project </w:t>
      </w:r>
      <w:r>
        <w:t>((</w:t>
      </w:r>
      <w:r>
        <w:rPr>
          <w:strike/>
        </w:rPr>
        <w:t xml:space="preserve">shall be provided solely for projects that provide direct benefits to low-income residents or communities. The department must attempt to prioritize an equal geographic distribution</w:t>
      </w:r>
      <w:r>
        <w:t>))</w:t>
      </w:r>
      <w:r>
        <w:rPr/>
        <w:t xml:space="preserve"> </w:t>
      </w:r>
      <w:r>
        <w:rPr>
          <w:u w:val="single"/>
        </w:rPr>
        <w:t xml:space="preserve">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r>
        <w:rPr/>
        <w:t xml:space="preserve">.</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w:t>
      </w:r>
      <w:r>
        <w:rPr>
          <w:u w:val="single"/>
        </w:rPr>
        <w:t xml:space="preserve">the first phase of</w:t>
      </w:r>
      <w:r>
        <w:rPr/>
        <w:t xml:space="preserve"> a project which, when fully deployed, will reduce emissions of greenhouse gases by a minimum of seven hundred fifty thousand tons per year, increase energy efficiency, and protect or create </w:t>
      </w:r>
      <w:r>
        <w:rPr>
          <w:u w:val="single"/>
        </w:rPr>
        <w:t xml:space="preserve">aluminum</w:t>
      </w:r>
      <w:r>
        <w:rPr/>
        <w:t xml:space="preserve"> manufacturing jobs located in </w:t>
      </w:r>
      <w:r>
        <w:t>((</w:t>
      </w:r>
      <w:r>
        <w:rPr>
          <w:strike/>
        </w:rPr>
        <w:t xml:space="preserve">a</w:t>
      </w:r>
      <w:r>
        <w:t>))</w:t>
      </w:r>
      <w:r>
        <w:rPr/>
        <w:t xml:space="preserve"> </w:t>
      </w:r>
      <w:r>
        <w:rPr>
          <w:u w:val="single"/>
        </w:rPr>
        <w:t xml:space="preserve">Whatcom</w:t>
      </w:r>
      <w:r>
        <w:rPr/>
        <w:t xml:space="preserve"> county </w:t>
      </w:r>
      <w:r>
        <w:t>((</w:t>
      </w:r>
      <w:r>
        <w:rPr>
          <w:strike/>
        </w:rPr>
        <w:t xml:space="preserve">with a population of less than three hundred thousand</w:t>
      </w:r>
      <w:r>
        <w:t>))</w:t>
      </w:r>
      <w:r>
        <w:rPr/>
        <w:t xml:space="preserve">.</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t>((</w:t>
      </w:r>
      <w:r>
        <w:rPr>
          <w:strike/>
        </w:rPr>
        <w:t xml:space="preserve">(1) Except as provided in subsection (2) of this section,</w:t>
      </w:r>
      <w:r>
        <w:t>))</w:t>
      </w:r>
      <w:r>
        <w:rPr/>
        <w:t xml:space="preserve"> </w:t>
      </w:r>
      <w:r>
        <w:rPr>
          <w:u w:val="single"/>
        </w:rPr>
        <w:t xml:space="preserve">T</w:t>
      </w:r>
      <w:r>
        <w:rPr/>
        <w:t xml:space="preserve">he reappropriations are subject to the provisions of section 1005, chapter 35, Laws of 2016 sp. sess.</w:t>
      </w:r>
    </w:p>
    <w:p>
      <w:pPr>
        <w:spacing w:before="0" w:after="0" w:line="408" w:lineRule="exact"/>
        <w:ind w:left="0" w:right="0" w:firstLine="576"/>
        <w:jc w:val="left"/>
      </w:pPr>
      <w:r>
        <w:t>((</w:t>
      </w:r>
      <w:r>
        <w:rPr>
          <w:strik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nine million dollars.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$59,701,000</w:t>
      </w:r>
      <w:r>
        <w:t>))</w:t>
      </w:r>
    </w:p>
    <w:p>
      <w:pPr>
        <w:spacing w:before="0" w:after="0" w:line="408" w:lineRule="exact"/>
        <w:ind w:left="0" w:right="0" w:firstLine="0"/>
        <w:jc w:val="left"/>
        <w:tabs>
          <w:tab w:val="right" w:leader="none" w:pos="9936"/>
        </w:tabs>
      </w:pPr>
      <w:r>
        <w:tab/>
      </w:r>
      <w:r>
        <w:rPr>
          <w:u w:val="single"/>
        </w:rPr>
        <w:t xml:space="preserve">$58,201,000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t>((</w:t>
      </w:r>
      <w:r>
        <w:rPr>
          <w:strike/>
        </w:rPr>
        <w:t xml:space="preserve">$62,701,000</w:t>
      </w:r>
      <w:r>
        <w:t>))</w:t>
      </w:r>
    </w:p>
    <w:p>
      <w:pPr>
        <w:spacing w:before="0" w:after="0" w:line="408" w:lineRule="exact"/>
        <w:ind w:left="0" w:right="0" w:firstLine="0"/>
        <w:jc w:val="left"/>
        <w:tabs>
          <w:tab w:val="right" w:leader="none" w:pos="9936"/>
        </w:tabs>
      </w:pPr>
      <w:r>
        <w:tab/>
      </w:r>
      <w:r>
        <w:rPr>
          <w:u w:val="single"/>
        </w:rPr>
        <w:t xml:space="preserve">$61,201,000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$83,000,000</w:t>
      </w:r>
    </w:p>
    <w:p>
      <w:pPr>
        <w:spacing w:before="0" w:after="0" w:line="408" w:lineRule="exact"/>
        <w:ind w:left="0" w:right="0" w:firstLine="0"/>
        <w:jc w:val="left"/>
        <w:tabs>
          <w:tab w:val="right" w:leader="none" w:pos="9936"/>
        </w:tabs>
      </w:pPr>
      <w:r>
        <w:tab/>
      </w:r>
      <w:r>
        <w:rPr>
          <w:u w:val="single"/>
        </w:rPr>
        <w:t xml:space="preserve">$81,500,000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$300,000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SeaTac international marketplace &amp; transit-oriented community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$1,250,000</w:t>
            </w:r>
            <w:r>
              <w:t>))</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p>
        </w:tc>
        <w:tc>
          <w:tcPr>
            <w:tcW w:w="3080" w:type="dxa"/>
            <w:vAlign w:val="top"/>
            <w:tcMar>
              <w:left w:w="120"/>
            </w:tcMar>
            <w:tcMar>
              <w:right w:w="120"/>
            </w:tcMar>
            <w:tcMar>
              <w:top w:w="40"/>
            </w:tcMar>
            <w:tcMar>
              <w:bottom w:w="40"/>
            </w:tcMar>
          </w:tcPr>
          <w:p>
            <w:pPr>
              <w:spacing w:before="0" w:after="0" w:line="408" w:lineRule="exact"/>
              <w:ind w:left="0" w:right="0" w:firstLine="0"/>
              <w:jc w:val="left"/>
            </w:pP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$130,169,000</w:t>
      </w:r>
      <w:r>
        <w:t>))</w:t>
      </w:r>
    </w:p>
    <w:p>
      <w:pPr>
        <w:spacing w:before="0" w:after="0" w:line="408" w:lineRule="exact"/>
        <w:ind w:left="0" w:right="0" w:firstLine="0"/>
        <w:jc w:val="left"/>
        <w:tabs>
          <w:tab w:val="right" w:leader="none" w:pos="9936"/>
        </w:tabs>
      </w:pPr>
      <w:r>
        <w:tab/>
      </w:r>
      <w:r>
        <w:rPr>
          <w:u w:val="single"/>
        </w:rPr>
        <w:t xml:space="preserve">$128,919,000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$130,169,000</w:t>
      </w:r>
    </w:p>
    <w:p>
      <w:pPr>
        <w:tabs>
          <w:tab w:val="right" w:leader="none" w:pos="9936"/>
        </w:tabs>
        <w:ind w:left="0" w:right="0" w:firstLine="1440"/>
      </w:pPr>
      <w:r>
        <w:tab/>
      </w:r>
      <w:r>
        <w:rPr>
          <w:u w:val="single"/>
        </w:rPr>
        <w:t xml:space="preserve">$128,919,000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$25,000,000</w:t>
      </w:r>
    </w:p>
    <w:p>
      <w:pPr>
        <w:spacing w:before="0" w:after="0" w:line="408" w:lineRule="exact"/>
        <w:ind w:left="0" w:right="0" w:firstLine="0"/>
        <w:jc w:val="left"/>
        <w:tabs>
          <w:tab w:val="right" w:leader="none" w:pos="9936"/>
        </w:tabs>
      </w:pPr>
      <w:r>
        <w:tab/>
      </w:r>
      <w:r>
        <w:rPr>
          <w:u w:val="single"/>
        </w:rPr>
        <w:t xml:space="preserve">$23,300,000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$175,000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w:t>
      </w:r>
      <w:r>
        <w:t>((</w:t>
      </w:r>
      <w:r>
        <w:rPr>
          <w:strike/>
        </w:rPr>
        <w:t xml:space="preserve">$10,000,000</w:t>
      </w:r>
      <w:r>
        <w:t>))</w:t>
      </w:r>
      <w:r>
        <w:rPr/>
        <w:t xml:space="preserve"> </w:t>
      </w:r>
      <w:r>
        <w:rPr>
          <w:u w:val="single"/>
        </w:rPr>
        <w:t xml:space="preserve">$10,194,000</w:t>
      </w:r>
      <w:r>
        <w:rPr/>
        <w:t xml:space="preserve">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$507,000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3109</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$2,425,000</w:t>
      </w:r>
      <w:r>
        <w:t>))</w:t>
      </w:r>
    </w:p>
    <w:p>
      <w:pPr>
        <w:spacing w:before="0" w:after="0" w:line="408" w:lineRule="exact"/>
        <w:ind w:left="0" w:right="0" w:firstLine="0"/>
        <w:jc w:val="left"/>
        <w:tabs>
          <w:tab w:val="right" w:leader="none" w:pos="9936"/>
        </w:tabs>
      </w:pPr>
      <w:r>
        <w:tab/>
      </w:r>
      <w:r>
        <w:rPr>
          <w:u w:val="single"/>
        </w:rPr>
        <w:t xml:space="preserve">$2,775,000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$2,425,000</w:t>
      </w:r>
    </w:p>
    <w:p>
      <w:pPr>
        <w:tabs>
          <w:tab w:val="right" w:leader="none" w:pos="9936"/>
        </w:tabs>
        <w:ind w:left="0" w:right="0" w:firstLine="1440"/>
      </w:pPr>
      <w:r>
        <w:tab/>
      </w:r>
      <w:r>
        <w:rPr>
          <w:u w:val="single"/>
        </w:rPr>
        <w:t xml:space="preserve">$2,775,000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3105</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$4,756,000</w:t>
      </w:r>
      <w:r>
        <w:t>))</w:t>
      </w:r>
    </w:p>
    <w:p>
      <w:pPr>
        <w:spacing w:before="0" w:after="0" w:line="408" w:lineRule="exact"/>
        <w:ind w:left="0" w:right="0" w:firstLine="0"/>
        <w:jc w:val="left"/>
        <w:tabs>
          <w:tab w:val="right" w:leader="none" w:pos="9936"/>
        </w:tabs>
      </w:pPr>
      <w:r>
        <w:tab/>
      </w:r>
      <w:r>
        <w:rPr>
          <w:u w:val="single"/>
        </w:rPr>
        <w:t xml:space="preserve">$4,356,000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$4,756,000</w:t>
      </w:r>
    </w:p>
    <w:p>
      <w:pPr>
        <w:spacing w:before="0" w:after="0" w:line="408" w:lineRule="exact"/>
        <w:ind w:left="0" w:right="0" w:firstLine="0"/>
        <w:jc w:val="left"/>
        <w:tabs>
          <w:tab w:val="right" w:leader="none" w:pos="9936"/>
        </w:tabs>
      </w:pPr>
      <w:r>
        <w:tab/>
      </w:r>
      <w:r>
        <w:rPr>
          <w:u w:val="single"/>
        </w:rPr>
        <w:t xml:space="preserve">$4,356,000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3136</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$2,293,000</w:t>
      </w:r>
    </w:p>
    <w:p>
      <w:pPr>
        <w:spacing w:before="0" w:after="0" w:line="408" w:lineRule="exact"/>
        <w:ind w:left="0" w:right="0" w:firstLine="0"/>
        <w:jc w:val="left"/>
        <w:tabs>
          <w:tab w:val="right" w:leader="none" w:pos="9936"/>
        </w:tabs>
      </w:pPr>
      <w:r>
        <w:tab/>
      </w:r>
      <w:r>
        <w:rPr>
          <w:u w:val="single"/>
        </w:rPr>
        <w:t xml:space="preserve">$2,343,000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strike/>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strike/>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strike/>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strike/>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strike/>
        </w:rPr>
        <w:t xml:space="preserve">(b) The loan application project results in the creation of jobs or private sector capital investment as determined by the board;</w:t>
      </w:r>
    </w:p>
    <w:p>
      <w:pPr>
        <w:spacing w:before="0" w:after="0" w:line="408" w:lineRule="exact"/>
        <w:ind w:left="0" w:right="0" w:firstLine="576"/>
        <w:jc w:val="left"/>
      </w:pPr>
      <w:r>
        <w:rPr>
          <w:strike/>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strike/>
        </w:rPr>
        <w:t xml:space="preserve">(d) The loan application project results in the creation or retention of long-term economic opportunities; and</w:t>
      </w:r>
    </w:p>
    <w:p>
      <w:pPr>
        <w:spacing w:before="0" w:after="0" w:line="408" w:lineRule="exact"/>
        <w:ind w:left="0" w:right="0" w:firstLine="576"/>
        <w:jc w:val="left"/>
      </w:pPr>
      <w:r>
        <w:rPr>
          <w:strike/>
        </w:rPr>
        <w:t xml:space="preserve">(e) The loan application project results in leveraging additional federal funding for an airport.</w:t>
      </w:r>
    </w:p>
    <w:p>
      <w:pPr>
        <w:spacing w:before="0" w:after="0" w:line="408" w:lineRule="exact"/>
        <w:ind w:left="0" w:right="0" w:firstLine="576"/>
        <w:jc w:val="left"/>
      </w:pPr>
      <w:r>
        <w:rPr>
          <w:strike/>
        </w:rPr>
        <w:t xml:space="preserve">(5) The repayment of any loan made from the public use general aviation airport loan revolving account under the contracts for aviation loans must be paid into the public use general aviation airport loan revolving account.</w:t>
      </w:r>
      <w:r>
        <w:t>))</w:t>
      </w:r>
      <w:r>
        <w:rPr/>
        <w:t xml:space="preserve"> </w:t>
      </w:r>
      <w:r>
        <w:rPr>
          <w:u w:val="single"/>
        </w:rPr>
        <w:t xml:space="preserve">(1)(a) The department of transportation must convene a community aviation revitalization board to exercise the powers granted under this section.</w:t>
      </w:r>
    </w:p>
    <w:p>
      <w:pPr>
        <w:spacing w:before="0" w:after="0" w:line="408" w:lineRule="exact"/>
        <w:ind w:left="0" w:right="0" w:firstLine="576"/>
        <w:jc w:val="left"/>
      </w:pPr>
      <w:r>
        <w:rPr>
          <w:u w:val="single"/>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u w:val="single"/>
        </w:rPr>
        <w:t xml:space="preserve">(c) Management services, including fiscal and contract services, must be provided by the department of transportation to assist the board in implementing this section.</w:t>
      </w:r>
    </w:p>
    <w:p>
      <w:pPr>
        <w:spacing w:before="0" w:after="0" w:line="408" w:lineRule="exact"/>
        <w:ind w:left="0" w:right="0" w:firstLine="576"/>
        <w:jc w:val="left"/>
      </w:pPr>
      <w:r>
        <w:rPr>
          <w:u w:val="single"/>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u w:val="single"/>
        </w:rPr>
        <w:t xml:space="preserve">(e)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u w:val="single"/>
        </w:rPr>
        <w:t xml:space="preserve">(f) A majority of members currently appointed constitutes a quorum.</w:t>
      </w:r>
    </w:p>
    <w:p>
      <w:pPr>
        <w:spacing w:before="0" w:after="0" w:line="408" w:lineRule="exact"/>
        <w:ind w:left="0" w:right="0" w:firstLine="576"/>
        <w:jc w:val="left"/>
      </w:pPr>
      <w:r>
        <w:rPr>
          <w:u w:val="single"/>
        </w:rPr>
        <w:t xml:space="preserve">(g) The board must meet three times a year or as deemed necessary by the department of transportation.</w:t>
      </w:r>
    </w:p>
    <w:p>
      <w:pPr>
        <w:spacing w:before="0" w:after="0" w:line="408" w:lineRule="exact"/>
        <w:ind w:left="0" w:right="0" w:firstLine="576"/>
        <w:jc w:val="left"/>
      </w:pPr>
      <w:r>
        <w:rPr>
          <w:u w:val="single"/>
        </w:rPr>
        <w:t xml:space="preserve">(h) Staff support to the board must be provided by the department of transportation as needed.</w:t>
      </w:r>
    </w:p>
    <w:p>
      <w:pPr>
        <w:spacing w:before="0" w:after="0" w:line="408" w:lineRule="exact"/>
        <w:ind w:left="0" w:right="0" w:firstLine="576"/>
        <w:jc w:val="left"/>
      </w:pPr>
      <w:r>
        <w:rPr>
          <w:u w:val="single"/>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u w:val="single"/>
        </w:rPr>
        <w:t xml:space="preserve">(3) The community aviation revitalization board may:</w:t>
      </w:r>
    </w:p>
    <w:p>
      <w:pPr>
        <w:spacing w:before="0" w:after="0" w:line="408" w:lineRule="exact"/>
        <w:ind w:left="0" w:right="0" w:firstLine="576"/>
        <w:jc w:val="left"/>
      </w:pPr>
      <w:r>
        <w:rPr>
          <w:u w:val="single"/>
        </w:rPr>
        <w:t xml:space="preserve">(a) Adopt bylaws for the regulation of its affairs and the conduct of its business;</w:t>
      </w:r>
    </w:p>
    <w:p>
      <w:pPr>
        <w:spacing w:before="0" w:after="0" w:line="408" w:lineRule="exact"/>
        <w:ind w:left="0" w:right="0" w:firstLine="576"/>
        <w:jc w:val="left"/>
      </w:pPr>
      <w:r>
        <w:rPr>
          <w:u w:val="single"/>
        </w:rPr>
        <w:t xml:space="preserve">(b) Adopt an official seal and alter the seal at its pleasure;</w:t>
      </w:r>
    </w:p>
    <w:p>
      <w:pPr>
        <w:spacing w:before="0" w:after="0" w:line="408" w:lineRule="exact"/>
        <w:ind w:left="0" w:right="0" w:firstLine="576"/>
        <w:jc w:val="left"/>
      </w:pPr>
      <w:r>
        <w:rPr>
          <w:u w:val="single"/>
        </w:rPr>
        <w:t xml:space="preserve">(c) Utilize the services of other governmental agencies;</w:t>
      </w:r>
    </w:p>
    <w:p>
      <w:pPr>
        <w:spacing w:before="0" w:after="0" w:line="408" w:lineRule="exact"/>
        <w:ind w:left="0" w:right="0" w:firstLine="576"/>
        <w:jc w:val="left"/>
      </w:pPr>
      <w:r>
        <w:rPr>
          <w:u w:val="single"/>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u w:val="single"/>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u w:val="single"/>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u w:val="single"/>
        </w:rPr>
        <w:t xml:space="preserve">(g) Enter into agreements or other transactions with and accept grants and the cooperation of any governmental agency in furtherance of this section;</w:t>
      </w:r>
    </w:p>
    <w:p>
      <w:pPr>
        <w:spacing w:before="0" w:after="0" w:line="408" w:lineRule="exact"/>
        <w:ind w:left="0" w:right="0" w:firstLine="576"/>
        <w:jc w:val="left"/>
      </w:pPr>
      <w:r>
        <w:rPr>
          <w:u w:val="single"/>
        </w:rPr>
        <w:t xml:space="preserve">(h) Adopt rules under chapter 34.05 RCW as necessary to carry out the purposes of this section; and</w:t>
      </w:r>
    </w:p>
    <w:p>
      <w:pPr>
        <w:spacing w:before="0" w:after="0" w:line="408" w:lineRule="exact"/>
        <w:ind w:left="0" w:right="0" w:firstLine="576"/>
        <w:jc w:val="left"/>
      </w:pPr>
      <w:r>
        <w:rPr>
          <w:u w:val="single"/>
        </w:rPr>
        <w:t xml:space="preserve">(i) Perform all acts and things necessary or convenient to carry out the powers expressly granted or implied under this section.</w:t>
      </w:r>
    </w:p>
    <w:p>
      <w:pPr>
        <w:spacing w:before="0" w:after="0" w:line="408" w:lineRule="exact"/>
        <w:ind w:left="0" w:right="0" w:firstLine="576"/>
        <w:jc w:val="left"/>
      </w:pPr>
      <w:r>
        <w:rPr>
          <w:u w:val="single"/>
        </w:rPr>
        <w:t xml:space="preserve">(4)(a)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u w:val="single"/>
        </w:rPr>
        <w:t xml:space="preserve">(b)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u w:val="single"/>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u w:val="single"/>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u w:val="single"/>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u w:val="single"/>
        </w:rPr>
        <w:t xml:space="preserve">(iv) The loan application project results in the creation or retention of long-term economic opportunities; and</w:t>
      </w:r>
    </w:p>
    <w:p>
      <w:pPr>
        <w:spacing w:before="0" w:after="0" w:line="408" w:lineRule="exact"/>
        <w:ind w:left="0" w:right="0" w:firstLine="576"/>
        <w:jc w:val="left"/>
      </w:pPr>
      <w:r>
        <w:rPr>
          <w:u w:val="single"/>
        </w:rPr>
        <w:t xml:space="preserve">(v) The loan application project results in leveraging additional federal funding for an airport.</w:t>
      </w:r>
    </w:p>
    <w:p>
      <w:pPr>
        <w:spacing w:before="0" w:after="0" w:line="408" w:lineRule="exact"/>
        <w:ind w:left="0" w:right="0" w:firstLine="576"/>
        <w:jc w:val="left"/>
      </w:pPr>
      <w:r>
        <w:rPr>
          <w:u w:val="single"/>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u w:val="single"/>
        </w:rPr>
        <w:t xml:space="preserve">(ii) An application must:</w:t>
      </w:r>
    </w:p>
    <w:p>
      <w:pPr>
        <w:spacing w:before="0" w:after="0" w:line="408" w:lineRule="exact"/>
        <w:ind w:left="0" w:right="0" w:firstLine="576"/>
        <w:jc w:val="left"/>
      </w:pPr>
      <w:r>
        <w:rPr>
          <w:u w:val="single"/>
        </w:rPr>
        <w:t xml:space="preserve">(A) Be supported by the port district, city, or county in which the project is located; or</w:t>
      </w:r>
    </w:p>
    <w:p>
      <w:pPr>
        <w:spacing w:before="0" w:after="0" w:line="408" w:lineRule="exact"/>
        <w:ind w:left="0" w:right="0" w:firstLine="576"/>
        <w:jc w:val="left"/>
      </w:pPr>
      <w:r>
        <w:rPr>
          <w:u w:val="single"/>
        </w:rPr>
        <w:t xml:space="preserve">(B) Clearly identify the source of funds intended to repay the loan.</w:t>
      </w:r>
    </w:p>
    <w:p>
      <w:pPr>
        <w:spacing w:before="0" w:after="0" w:line="408" w:lineRule="exact"/>
        <w:ind w:left="0" w:right="0" w:firstLine="576"/>
        <w:jc w:val="left"/>
      </w:pPr>
      <w:r>
        <w:rPr>
          <w:u w:val="single"/>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u w:val="single"/>
        </w:rPr>
        <w:t xml:space="preserve">(a) The moneys in the public use general aviation airport loan revolving account created in section 7037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u w:val="single"/>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u w:val="single"/>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u w:val="single"/>
        </w:rPr>
        <w:t xml:space="preserve">(6) All receipts from moneys collected under this section must be deposited into the public use general aviation airport loan revolving account created in section 7037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Taxable Building Construction</w:t>
      </w:r>
      <w:r>
        <w:t>))</w:t>
      </w:r>
      <w:r>
        <w:rPr/>
        <w:t xml:space="preserve"> </w:t>
      </w:r>
      <w:r>
        <w:rPr>
          <w:u w:val="single"/>
        </w:rPr>
        <w:t xml:space="preserve">Public Works</w:t>
      </w:r>
    </w:p>
    <w:p>
      <w:pPr>
        <w:spacing w:before="0" w:after="0" w:line="408" w:lineRule="exact"/>
        <w:ind w:left="0" w:right="0" w:firstLine="576"/>
        <w:jc w:val="left"/>
        <w:tabs>
          <w:tab w:val="right" w:leader="dot" w:pos="9936"/>
        </w:tabs>
      </w:pPr>
      <w:r>
        <w:rPr>
          <w:u w:val="single"/>
        </w:rPr>
        <w:t xml:space="preserve">Assistance</w:t>
      </w:r>
      <w:r>
        <w:rPr/>
        <w:t xml:space="preserv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5014</w:t>
      </w:r>
      <w:r>
        <w:rPr/>
        <w:t xml:space="preserve"> (uncodified) is amended to read as follows:</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w:t>
      </w:r>
    </w:p>
    <w:p>
      <w:pPr>
        <w:tabs>
          <w:tab w:val="right" w:leader="none" w:pos="9936"/>
        </w:tabs>
        <w:ind w:left="0" w:right="0" w:firstLine="1440"/>
      </w:pPr>
      <w:r>
        <w:tab/>
      </w:r>
      <w:r>
        <w:rPr>
          <w:u w:val="single"/>
        </w:rPr>
        <w:t xml:space="preserve">$170,000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5058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$6,915,000</w:t>
      </w:r>
      <w:r>
        <w:t>))</w:t>
      </w:r>
    </w:p>
    <w:p>
      <w:pPr>
        <w:spacing w:before="0" w:after="0" w:line="408" w:lineRule="exact"/>
        <w:ind w:left="0" w:right="0" w:firstLine="0"/>
        <w:jc w:val="left"/>
        <w:tabs>
          <w:tab w:val="right" w:leader="none" w:pos="9936"/>
        </w:tabs>
      </w:pPr>
      <w:r>
        <w:tab/>
      </w:r>
      <w:r>
        <w:rPr>
          <w:u w:val="single"/>
        </w:rPr>
        <w:t xml:space="preserve">$203,000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$41,173,000</w:t>
      </w:r>
    </w:p>
    <w:p>
      <w:pPr>
        <w:tabs>
          <w:tab w:val="right" w:leader="none" w:pos="9936"/>
        </w:tabs>
        <w:ind w:left="0" w:right="0" w:firstLine="1440"/>
      </w:pPr>
      <w:r>
        <w:tab/>
      </w:r>
      <w:r>
        <w:rPr>
          <w:u w:val="single"/>
        </w:rPr>
        <w:t xml:space="preserve">$34,461,000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5040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$3,421,000</w:t>
      </w:r>
      <w:r>
        <w:t>))</w:t>
      </w:r>
    </w:p>
    <w:p>
      <w:pPr>
        <w:spacing w:before="0" w:after="0" w:line="408" w:lineRule="exact"/>
        <w:ind w:left="0" w:right="0" w:firstLine="0"/>
        <w:jc w:val="left"/>
        <w:tabs>
          <w:tab w:val="right" w:leader="none" w:pos="9936"/>
        </w:tabs>
      </w:pPr>
      <w:r>
        <w:tab/>
      </w:r>
      <w:r>
        <w:rPr>
          <w:u w:val="single"/>
        </w:rPr>
        <w:t xml:space="preserve">$296,000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$37,726,000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$41,147,000</w:t>
      </w:r>
    </w:p>
    <w:p>
      <w:pPr>
        <w:tabs>
          <w:tab w:val="right" w:leader="none" w:pos="9936"/>
        </w:tabs>
        <w:ind w:left="0" w:right="0" w:firstLine="1440"/>
      </w:pPr>
      <w:r>
        <w:tab/>
      </w:r>
      <w:r>
        <w:rPr>
          <w:u w:val="single"/>
        </w:rPr>
        <w:t xml:space="preserve">$296,000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(7)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(8)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 However, the office of financial management may transfer funds from the emergency repair pool to supplement the western state hospital wards renovations for forensic services project in section 2035 of this act if bids exceed the project appropriation.</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 However, the office of financial management may effect one or more transfers to supplement the western state hospital wards renovations for forensic services project in section 2035 of this act without waiting thirty days for fiscal committee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2019, (Substitute House Bill No. 1101,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(3)(a)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$10,775,000 for fiscal</w:t>
      </w:r>
    </w:p>
    <w:p>
      <w:pPr>
        <w:spacing w:before="0" w:after="0" w:line="408" w:lineRule="exact"/>
        <w:ind w:left="0" w:right="0" w:firstLine="0"/>
        <w:jc w:val="left"/>
        <w:tabs>
          <w:tab w:val="right" w:leader="dot" w:pos="9936"/>
        </w:tabs>
      </w:pPr>
      <w:r>
        <w:rPr/>
        <w:t xml:space="preserve">year 2020 and $10,775,000 for fiscal year 2021</w:t>
      </w:r>
      <w:r>
        <w:tab/>
      </w:r>
      <w:r>
        <w:rPr/>
        <w:t xml:space="preserve">$21,550,000</w:t>
      </w:r>
    </w:p>
    <w:p>
      <w:pPr>
        <w:spacing w:before="0" w:after="0" w:line="408" w:lineRule="exact"/>
        <w:ind w:left="0" w:right="0" w:firstLine="576"/>
        <w:jc w:val="left"/>
      </w:pPr>
      <w:r>
        <w:rPr/>
        <w:t xml:space="preserve">(b) The transfer identified in this subsection is contingent upon the enactment of chapter . . ., Laws of 2019 (Second Substitute Senate Bill No. 5511, broadband service) by June 30, 2019.</w:t>
      </w:r>
    </w:p>
    <w:p>
      <w:pPr>
        <w:spacing w:before="0" w:after="0" w:line="408" w:lineRule="exact"/>
        <w:ind w:left="0" w:right="0" w:firstLine="576"/>
        <w:jc w:val="left"/>
      </w:pPr>
      <w:r>
        <w:rPr/>
        <w:t xml:space="preserve">(4) State Building Construction Account: For</w:t>
      </w:r>
    </w:p>
    <w:p>
      <w:pPr>
        <w:spacing w:before="0" w:after="0" w:line="408" w:lineRule="exact"/>
        <w:ind w:left="0" w:right="0" w:firstLine="0"/>
        <w:jc w:val="left"/>
      </w:pPr>
      <w:r>
        <w:rPr/>
        <w:t xml:space="preserve">transfer to the advanced environmental mitigation</w:t>
      </w:r>
    </w:p>
    <w:p>
      <w:pPr>
        <w:spacing w:before="0" w:after="0" w:line="408" w:lineRule="exact"/>
        <w:ind w:left="0" w:right="0" w:firstLine="0"/>
        <w:jc w:val="left"/>
        <w:tabs>
          <w:tab w:val="right" w:leader="dot" w:pos="9936"/>
        </w:tabs>
      </w:pPr>
      <w:r>
        <w:rPr/>
        <w:t xml:space="preserve">revolving account, for fiscal year 2020</w:t>
      </w:r>
      <w:r>
        <w:tab/>
      </w:r>
      <w:r>
        <w:rPr/>
        <w:t xml:space="preserve">$9,000,000</w:t>
      </w:r>
    </w:p>
    <w:p>
      <w:pPr>
        <w:spacing w:before="0" w:after="0" w:line="408" w:lineRule="exact"/>
        <w:ind w:left="0" w:right="0" w:firstLine="576"/>
        <w:jc w:val="left"/>
      </w:pPr>
      <w:r>
        <w:rPr/>
        <w:t xml:space="preserve">(5)(a) Local Toxics Control Account: For transfer</w:t>
      </w:r>
    </w:p>
    <w:p>
      <w:pPr>
        <w:spacing w:before="0" w:after="0" w:line="408" w:lineRule="exact"/>
        <w:ind w:left="0" w:right="0" w:firstLine="0"/>
        <w:jc w:val="left"/>
      </w:pPr>
      <w:r>
        <w:rPr/>
        <w:t xml:space="preserve">to the cleanup settlement account as repayment of the</w:t>
      </w:r>
    </w:p>
    <w:p>
      <w:pPr>
        <w:spacing w:before="0" w:after="0" w:line="408" w:lineRule="exact"/>
        <w:ind w:left="0" w:right="0" w:firstLine="0"/>
        <w:jc w:val="left"/>
      </w:pPr>
      <w:r>
        <w:rPr/>
        <w:t xml:space="preserve">loan provided in section 7038, chapter 3, Laws of 2015</w:t>
      </w:r>
    </w:p>
    <w:p>
      <w:pPr>
        <w:spacing w:before="0" w:after="0" w:line="408" w:lineRule="exact"/>
        <w:ind w:left="0" w:right="0" w:firstLine="0"/>
        <w:jc w:val="left"/>
      </w:pPr>
      <w:r>
        <w:rPr/>
        <w:t xml:space="preserve">3rd sp. sess. (capital budget), in an amount not to exceed</w:t>
      </w:r>
    </w:p>
    <w:p>
      <w:pPr>
        <w:spacing w:before="0" w:after="0" w:line="408" w:lineRule="exact"/>
        <w:ind w:left="0" w:right="0" w:firstLine="0"/>
        <w:jc w:val="left"/>
      </w:pPr>
      <w:r>
        <w:rPr/>
        <w:t xml:space="preserve">the actual amount of the total remaining principal and</w:t>
      </w:r>
    </w:p>
    <w:p>
      <w:pPr>
        <w:spacing w:before="0" w:after="0" w:line="408" w:lineRule="exact"/>
        <w:ind w:left="0" w:right="0" w:firstLine="0"/>
        <w:jc w:val="left"/>
      </w:pPr>
      <w:r>
        <w:rPr/>
        <w:t xml:space="preserve">interest of the loan, $8,000,000 for fiscal year 2020 and</w:t>
      </w:r>
    </w:p>
    <w:p>
      <w:pPr>
        <w:spacing w:before="0" w:after="0" w:line="408" w:lineRule="exact"/>
        <w:ind w:left="0" w:right="0" w:firstLine="0"/>
        <w:jc w:val="left"/>
        <w:tabs>
          <w:tab w:val="right" w:leader="dot" w:pos="9936"/>
        </w:tabs>
      </w:pPr>
      <w:r>
        <w:rPr/>
        <w:t xml:space="preserve">$8,000,000 for fiscal year 2021</w:t>
      </w:r>
      <w:r>
        <w:tab/>
      </w:r>
      <w:r>
        <w:rPr/>
        <w:t xml:space="preserve">$16,000,000</w:t>
      </w:r>
    </w:p>
    <w:p>
      <w:pPr>
        <w:spacing w:before="0" w:after="0" w:line="408" w:lineRule="exact"/>
        <w:ind w:left="0" w:right="0" w:firstLine="576"/>
        <w:jc w:val="left"/>
      </w:pPr>
      <w:r>
        <w:rPr/>
        <w:t xml:space="preserve">(b) If Engrossed Substitute Senate Bill No. 5993 is enacted by June 30, 2019, then the treasurer must make this transfer from the model toxics control stormwater account, rather than the local toxics control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revenue and the department of transportation, must review its enforcement of the application of the hazardous substance tax to aviation fuels, and develop and submit recommendations to the appropriate legislative committees before the 2020 legislative session regarding application of state and local taxes, including specifically the hazardous substance tax under chapter 82.21 RCW, to aviation fuels in light of federal restrictions on the proceeds of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biennium, sums credited to the University of Washington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biennium, sums credited to the Washington State University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 However,</w:t>
      </w:r>
      <w:r>
        <w:t>))</w:t>
      </w:r>
      <w:r>
        <w:rPr/>
        <w:t xml:space="preserve"> </w:t>
      </w:r>
      <w:r>
        <w:rPr>
          <w:u w:val="single"/>
        </w:rPr>
        <w:t xml:space="preserve">D</w:t>
      </w:r>
      <w:r>
        <w:rPr/>
        <w:t xml:space="preserve">uring the 2017-2019 biennium, sums in the respective capital accounts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 However,</w:t>
      </w:r>
      <w:r>
        <w:t>))</w:t>
      </w:r>
      <w:r>
        <w:rPr/>
        <w:t xml:space="preserve"> </w:t>
      </w:r>
      <w:r>
        <w:rPr>
          <w:u w:val="single"/>
        </w:rPr>
        <w:t xml:space="preserve">D</w:t>
      </w:r>
      <w:r>
        <w:rPr/>
        <w:t xml:space="preserve">uring the 2017-2019 biennium, sums in the capital projects account </w:t>
      </w:r>
      <w:r>
        <w:t>((</w:t>
      </w:r>
      <w:r>
        <w:rPr>
          <w:strike/>
        </w:rPr>
        <w:t xml:space="preserve">shall</w:t>
      </w:r>
      <w:r>
        <w:t>))</w:t>
      </w:r>
      <w:r>
        <w:rPr/>
        <w:t xml:space="preserve"> </w:t>
      </w:r>
      <w:r>
        <w:rPr>
          <w:u w:val="single"/>
        </w:rPr>
        <w:t xml:space="preserve">may</w:t>
      </w:r>
      <w:r>
        <w:rPr/>
        <w:t xml:space="preserve"> also be used for routine facility maintenance and utility costs. </w:t>
      </w:r>
      <w:r>
        <w:rPr>
          <w:u w:val="single"/>
        </w:rPr>
        <w:t xml:space="preserve">During the 2019-2021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2011 1st sp.s. c 48 s 7027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 The evaluation and ranking process shall also include an examination of existing assets that applicants may apply to projects. Grant assistance under this section shall not exceed twenty-five percent of the total cost of the project, except, under exceptional circumstances, the department may reduce the amount of nonstate match required. </w:t>
      </w:r>
      <w:r>
        <w:rPr>
          <w:u w:val="single"/>
        </w:rPr>
        <w:t xml:space="preserve">However, during the 2019-2021 biennium, the legislature may waive the match required for the projects specified in section 1009 of this act.</w:t>
      </w:r>
      <w:r>
        <w:rPr/>
        <w:t xml:space="preserve"> No more than ten percent of the total granted amount may be awarded to qualified eligible projects that meet the definition of exceptional circumstances defined in this subsection.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three million dollars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2015 1st sp.s. c 4 s 33 are each amended to read as follows:</w:t>
      </w:r>
    </w:p>
    <w:p>
      <w:pPr>
        <w:spacing w:before="0" w:after="0" w:line="408" w:lineRule="exact"/>
        <w:ind w:left="0" w:right="0" w:firstLine="576"/>
        <w:jc w:val="left"/>
      </w:pPr>
      <w:r>
        <w:rPr/>
        <w:t xml:space="preserve">(1) The state building construction account is hereby established in the state treasury and shall be used exclusively for the purposes of carrying out the provisions of the capital appropriation acts.</w:t>
      </w:r>
    </w:p>
    <w:p>
      <w:pPr>
        <w:spacing w:before="0" w:after="0" w:line="408" w:lineRule="exact"/>
        <w:ind w:left="0" w:right="0" w:firstLine="576"/>
        <w:jc w:val="left"/>
      </w:pPr>
      <w:r>
        <w:rPr/>
        <w:t xml:space="preserve">(2) During the </w:t>
      </w:r>
      <w:r>
        <w:t>((</w:t>
      </w:r>
      <w:r>
        <w:rPr>
          <w:strike/>
        </w:rPr>
        <w:t xml:space="preserve">2003-2005</w:t>
      </w:r>
      <w:r>
        <w:t>))</w:t>
      </w:r>
      <w:r>
        <w:rPr/>
        <w:t xml:space="preserve"> </w:t>
      </w:r>
      <w:r>
        <w:rPr>
          <w:u w:val="single"/>
        </w:rPr>
        <w:t xml:space="preserve">2019-2021 fiscal</w:t>
      </w:r>
      <w:r>
        <w:rPr/>
        <w:t xml:space="preserve"> biennium, the legislature may </w:t>
      </w:r>
      <w:r>
        <w:t>((</w:t>
      </w:r>
      <w:r>
        <w:rPr>
          <w:strike/>
        </w:rPr>
        <w:t xml:space="preserve">transfer</w:t>
      </w:r>
      <w:r>
        <w:t>))</w:t>
      </w:r>
      <w:r>
        <w:rPr/>
        <w:t xml:space="preserve"> </w:t>
      </w:r>
      <w:r>
        <w:rPr>
          <w:u w:val="single"/>
        </w:rPr>
        <w:t xml:space="preserve">direct the state treasurer to make transfers of</w:t>
      </w:r>
      <w:r>
        <w:rPr/>
        <w:t xml:space="preserve"> moneys from the state building construction account to the </w:t>
      </w:r>
      <w:r>
        <w:t>((</w:t>
      </w:r>
      <w:r>
        <w:rPr>
          <w:strike/>
        </w:rPr>
        <w:t xml:space="preserve">conservation assistance</w:t>
      </w:r>
      <w:r>
        <w:t>))</w:t>
      </w:r>
      <w:r>
        <w:rPr/>
        <w:t xml:space="preserve"> </w:t>
      </w:r>
      <w:r>
        <w:rPr>
          <w:u w:val="single"/>
        </w:rPr>
        <w:t xml:space="preserve">advanced environmental mitigation</w:t>
      </w:r>
      <w:r>
        <w:rPr/>
        <w:t xml:space="preserve"> revolving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w:t>
      </w:r>
      <w:r>
        <w:rPr>
          <w:u w:val="single"/>
        </w:rPr>
        <w:t xml:space="preserve">the aviation revitalization loan program, the community economic revitalization board broadband program,</w:t>
      </w:r>
      <w:r>
        <w:rPr/>
        <w:t xml:space="preserve"> and the voluntary stewardship program. During the 2015-2017 fiscal biennium, the legislature may transfer from the public works assistance account to the state general fund such amounts as specified by the legislature.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 </w:t>
      </w:r>
      <w:r>
        <w:rPr>
          <w:u w:val="single"/>
        </w:rPr>
        <w:t xml:space="preserve">If chapter . . .,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2016 sp.s. c 35 s 6013 and 2016 c 161 s 15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During the 2015-2017 fiscal biennium, the legislature may transfer from the pollution liability insurance program trust account to the underground storage tank revolving account such amounts as reflect the excess fund balance of the account.</w:t>
      </w:r>
      <w:r>
        <w:t>))</w:t>
      </w:r>
      <w:r>
        <w:rPr/>
        <w:t xml:space="preserve"> </w:t>
      </w:r>
      <w:r>
        <w:rPr>
          <w:u w:val="single"/>
        </w:rPr>
        <w:t xml:space="preserve">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2018 c 1 s 301 are each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w:t>
      </w:r>
      <w:r>
        <w:rPr>
          <w:u w:val="single"/>
        </w:rPr>
        <w:t xml:space="preserve">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u w:val="single"/>
        </w:rPr>
        <w:t xml:space="preserve">(4)</w:t>
      </w:r>
      <w:r>
        <w:rPr/>
        <w:t xml:space="preserve">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first meeting of the task force must occur by June 30, 2018.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By November 15, 2019, the joint legislative task force must make recommendations to the legislature in compliance with RCW 43.01.036. </w:t>
      </w:r>
      <w:r>
        <w:rPr>
          <w:u w:val="singl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p>
    <w:p>
      <w:pPr>
        <w:spacing w:before="0" w:after="0" w:line="408" w:lineRule="exact"/>
        <w:ind w:left="0" w:right="0" w:firstLine="576"/>
        <w:jc w:val="left"/>
      </w:pPr>
      <w:r>
        <w:rPr/>
        <w:t xml:space="preserve">(b) Recommendations of the joint legislative task force must be made by a sixty percent majority of the </w:t>
      </w:r>
      <w:r>
        <w:rPr>
          <w:u w:val="single"/>
        </w:rPr>
        <w:t xml:space="preserve">appointed</w:t>
      </w:r>
      <w:r>
        <w:rPr/>
        <w:t xml:space="preserve"> members of the task force. The representatives of the departments of fish and wildlife, ecology, and agriculture are not eligible to vote on the recommendations. Minority recommendations that achieve the support of at least five of the </w:t>
      </w:r>
      <w:r>
        <w:t>((</w:t>
      </w:r>
      <w:r>
        <w:rPr>
          <w:strike/>
        </w:rPr>
        <w:t xml:space="preserve">named</w:t>
      </w:r>
      <w:r>
        <w:t>))</w:t>
      </w:r>
      <w:r>
        <w:rPr/>
        <w:t xml:space="preserve"> </w:t>
      </w:r>
      <w:r>
        <w:rPr>
          <w:u w:val="single"/>
        </w:rPr>
        <w:t xml:space="preserve">appointed</w:t>
      </w:r>
      <w:r>
        <w:rPr/>
        <w:t xml:space="preserve"> voting members of the task force may also be submitted to the legislature.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w:t>
      </w:r>
      <w:r>
        <w:t>((</w:t>
      </w:r>
      <w:r>
        <w:rPr>
          <w:strike/>
        </w:rPr>
        <w:t xml:space="preserve">(8)</w:t>
      </w:r>
      <w:r>
        <w:t>))</w:t>
      </w:r>
      <w:r>
        <w:rPr/>
        <w:t xml:space="preserve"> </w:t>
      </w:r>
      <w:r>
        <w:rPr>
          <w:u w:val="single"/>
        </w:rPr>
        <w:t xml:space="preserve">(9)</w:t>
      </w:r>
      <w:r>
        <w:rPr/>
        <w:t xml:space="preserve"> of this section applies to final decisions issued by the department, even if such a final decision is issued after the expiration of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By November 15, 2018, the department must furnish the task force with information on conceptual mitigation plans for each water resource mitigation pilot project application. </w:t>
      </w:r>
      <w:r>
        <w:rPr>
          <w:u w:val="single"/>
        </w:rPr>
        <w:t xml:space="preserve">By November 15, 2019, the department must provide the task force with an update on the mitigation plans based on additional information developed after November 15, 2018.</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joint legislative task force expires December 31, </w:t>
      </w:r>
      <w:r>
        <w:t>((</w:t>
      </w:r>
      <w:r>
        <w:rPr>
          <w:strike/>
        </w:rPr>
        <w:t xml:space="preserve">2019</w:t>
      </w:r>
      <w:r>
        <w:t>))</w:t>
      </w:r>
      <w:r>
        <w:rPr/>
        <w:t xml:space="preserve"> </w:t>
      </w:r>
      <w:r>
        <w:rPr>
          <w:u w:val="single"/>
        </w:rPr>
        <w:t xml:space="preserve">2020. During the period from November 16, 2019, through December 31, 2020, the work of the task force is limited to:</w:t>
      </w:r>
    </w:p>
    <w:p>
      <w:pPr>
        <w:spacing w:before="0" w:after="0" w:line="408" w:lineRule="exact"/>
        <w:ind w:left="0" w:right="0" w:firstLine="576"/>
        <w:jc w:val="left"/>
      </w:pPr>
      <w:r>
        <w:rPr>
          <w:u w:val="single"/>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u w:val="single"/>
        </w:rPr>
        <w:t xml:space="preserve">(b) An update of the task force's November 15, 2019, recommendations under subsection (8) of this section</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2021, subject to the requirements that studies and selection of scientists or organizations to implement the studies must be made by a sixty percent majority of the members of the task force and that if a member has not been designated for a position set forth in subsection (2) of 2018 c 298 s 7011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7010</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6023 and 4005 of this act</w:t>
      </w:r>
      <w:r>
        <w:rPr/>
        <w:t xml:space="preserve"> must be deposited into the account. Expenditures from the account may be used only for the purposes described in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6023 and 4005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UNIVERSITY OF WASHINGTON TRANSFER TO SEATTLE.</w:t>
      </w:r>
      <w:r>
        <w:t xml:space="preserve">  </w:t>
      </w:r>
      <w:r>
        <w:rPr/>
        <w:t xml:space="preserve">By June 30, 2020, the University of Washington must transfer the deed of the property and general purpose facility, King County parcel number 308500-2100, located at 2901 27th Avenue South, Seattle, to the city of Seattle for the purposes of developing affordable housing for households at or below eighty percent of the area median income and providing health care services in partnership with a public hospital system. The University of Washington may reserve easements in the transferred property at no cost to the university. The transfer shall count toward the obligation to build affordable housing under the university's institutional campus master plan agreement. Liabilities existing on the property at the time of transfer will transfer with the property. When the deed is transferred to the city, any existing leases of the property expire. The transfer must be at no cost to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TRANSFER SEATTLE CENTRAL.</w:t>
      </w:r>
      <w:r>
        <w:t xml:space="preserve">  </w:t>
      </w:r>
      <w:r>
        <w:rPr/>
        <w:t xml:space="preserve">If House Bill No. 1918 (community preservation auth.) is enacted by June 30, 2019, the Seattle Central College must transfer the deed of the property located at 2120 South Jackson Street, Seattle, Washington 98144, to the community preservation and development authority established in the bill. The transfer must be made by no later than June 30, 2021, once the community preservation and development authority has selected board members. The transfer must be at no cost to the community preservation and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21, 2019, with the exception of certain items that were vetoed.</w:t>
      </w:r>
    </w:p>
    <w:p>
      <w:pPr>
        <w:spacing w:before="0" w:after="0" w:line="408" w:lineRule="exact"/>
        <w:ind w:left="0" w:right="0" w:firstLine="576"/>
        <w:jc w:val="left"/>
      </w:pPr>
      <w:r>
        <w:rPr/>
        <w:t xml:space="preserve">Filed in Office of Secretary of State May 21,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1029(5), 1043(3), 1082(2), 1083(2), 1091(2), 3102, and 7019, Substitute House Bill No. 1102 entitled:</w:t>
      </w:r>
    </w:p>
    <w:p>
      <w:pPr>
        <w:spacing w:before="120" w:after="0" w:line="408" w:lineRule="exact"/>
        <w:ind w:left="0" w:right="0" w:firstLine="576"/>
        <w:jc w:val="left"/>
      </w:pPr>
      <w:r>
        <w:rPr/>
        <w:t xml:space="preserve">"AN ACT Relating to the capital budget."</w:t>
      </w:r>
    </w:p>
    <w:p>
      <w:pPr>
        <w:spacing w:before="120" w:after="0" w:line="408" w:lineRule="exact"/>
        <w:ind w:left="0" w:right="0" w:firstLine="0"/>
        <w:jc w:val="left"/>
      </w:pPr>
      <w:r>
        <w:rPr>
          <w:b/>
        </w:rPr>
        <w:t xml:space="preserve">Section 1029(5), page 17, Department of Commerce, 2019-21 Housing Trust Fund Program (40000036)</w:t>
      </w:r>
    </w:p>
    <w:p>
      <w:pPr>
        <w:spacing w:before="120" w:after="0" w:line="408" w:lineRule="exact"/>
        <w:ind w:left="0" w:right="0" w:firstLine="0"/>
        <w:jc w:val="left"/>
      </w:pPr>
      <w:r>
        <w:rPr/>
        <w:t xml:space="preserve">I commend the Legislature for the capital budget appropriation of $175 million for the Housing Trust Fund program. This vital funding will help preserve and build affordable units to address our state's housing crisis. I share the concern that some projects serving those most in need lack sufficient funding streams to support long-term operations and services. However, Section 1029(5) directs Commerce to prioritize loan deferment for nearly all projects funded by the Housing Trust Fund. This proviso does not recognize that most of these projects serve a mix of households, including many that pay rent. Loan repayments from developers who receive rental income are reinvested in future Housing Trust Fund projects. I am directing the department to work with stakeholders and legislators to develop a fair and transparent policy for loan repayments, with the goal of ensuring the long-term viability of the state􀂶s affordable housing investments. For these reasons, I have vetoed Section 1029(5).</w:t>
      </w:r>
    </w:p>
    <w:p>
      <w:pPr>
        <w:spacing w:before="120" w:after="0" w:line="408" w:lineRule="exact"/>
        <w:ind w:left="0" w:right="0" w:firstLine="0"/>
        <w:jc w:val="left"/>
      </w:pPr>
      <w:r>
        <w:rPr>
          <w:b/>
        </w:rPr>
        <w:t xml:space="preserve">Section 1043(3), page 45, Department of Commerce, Washington Broadband Program (40000117)</w:t>
      </w:r>
    </w:p>
    <w:p>
      <w:pPr>
        <w:spacing w:before="120" w:after="0" w:line="408" w:lineRule="exact"/>
        <w:ind w:left="0" w:right="0" w:firstLine="0"/>
        <w:jc w:val="left"/>
      </w:pPr>
      <w:r>
        <w:rPr/>
        <w:t xml:space="preserve">I appreciate the bipartisan effort to pass the Washington state broadband service bill (Second Substitute Senate Bill 5511) to expand affordable, resilient broadband service. The bill lays out the roles and responsibilities of the agencies involved, including the Governor􀂶s statewide broadband office, Public Works Board (PWB), Community Economic Revitalization Board (CERB), Department of Commerce, and Utilities and Transportation Commission (UTC). However, Section 1043(3) contains language requiring the PWB to collaborate with CERB to implement the funding provided in the Universal Communications Services Account. This account funds the state universal communications services program administered by the UTC, and by statute only the UTC may authorize expenditures from the account. For this reason, I have vetoed Section 1043(3).</w:t>
      </w:r>
    </w:p>
    <w:p>
      <w:pPr>
        <w:spacing w:before="120" w:after="0" w:line="408" w:lineRule="exact"/>
        <w:ind w:left="0" w:right="0" w:firstLine="0"/>
        <w:jc w:val="left"/>
      </w:pPr>
      <w:r>
        <w:rPr>
          <w:b/>
        </w:rPr>
        <w:t xml:space="preserve">Section 1082(2), page 63, Department of Enterprise Services, Roof Replacement</w:t>
      </w:r>
      <w:r>
        <w:rPr>
          <w:rFonts w:ascii="Times New Roman" w:hAnsi="Times New Roman"/>
          <w:b/>
        </w:rPr>
        <w:t xml:space="preserve">—</w:t>
      </w:r>
      <w:r>
        <w:rPr>
          <w:b/>
        </w:rPr>
        <w:t xml:space="preserve">Cherberg and Insurance Buildings (40000032)</w:t>
      </w:r>
    </w:p>
    <w:p>
      <w:pPr>
        <w:spacing w:before="120" w:after="0" w:line="408" w:lineRule="exact"/>
        <w:ind w:left="0" w:right="0" w:firstLine="0"/>
        <w:jc w:val="left"/>
      </w:pPr>
      <w:r>
        <w:rPr/>
        <w:t xml:space="preserve">This appropriation is for the replacement and construction of the Insurance and Cherberg Building roofs. This amount assumes cost savings by completing both roofs at the same time. Section 1082(2) limits the ability to complete this project by requiring the completion of the Cherberg Building roof before beginning work on the Insurance Building. For this reason, I have vetoed Section 1082(2).</w:t>
      </w:r>
    </w:p>
    <w:p>
      <w:pPr>
        <w:spacing w:before="120" w:after="0" w:line="408" w:lineRule="exact"/>
        <w:ind w:left="0" w:right="0" w:firstLine="0"/>
        <w:jc w:val="left"/>
      </w:pPr>
      <w:r>
        <w:rPr>
          <w:b/>
        </w:rPr>
        <w:t xml:space="preserve">Section 1083(2), pages 63-64, Department of Enterprise Services, Legislative Building Exterior Preservation Cleaning (40000033)</w:t>
      </w:r>
    </w:p>
    <w:p>
      <w:pPr>
        <w:spacing w:before="120" w:after="0" w:line="408" w:lineRule="exact"/>
        <w:ind w:left="0" w:right="0" w:firstLine="0"/>
        <w:jc w:val="left"/>
      </w:pPr>
      <w:r>
        <w:rPr/>
        <w:t xml:space="preserve">This reappropriation is for cleaning the exterior of the Legislative Building and to make various repairs. Section 1083(2) sets unrealistic expectations for what the department will be able to complete within the amount appropriated. For this reason, I have vetoed Section 1083(2). However, the department will continue the cleaning and repair work with the funding provided.</w:t>
      </w:r>
    </w:p>
    <w:p>
      <w:pPr>
        <w:spacing w:before="120" w:after="0" w:line="408" w:lineRule="exact"/>
        <w:ind w:left="0" w:right="0" w:firstLine="0"/>
        <w:jc w:val="left"/>
      </w:pPr>
      <w:r>
        <w:rPr>
          <w:b/>
        </w:rPr>
        <w:t xml:space="preserve">Section 1091(2), pages 66-67, Department of Enterprise Services, Legislative Building Cleaning (92000028)</w:t>
      </w:r>
    </w:p>
    <w:p>
      <w:pPr>
        <w:spacing w:before="120" w:after="0" w:line="408" w:lineRule="exact"/>
        <w:ind w:left="0" w:right="0" w:firstLine="0"/>
        <w:jc w:val="left"/>
      </w:pPr>
      <w:r>
        <w:rPr/>
        <w:t xml:space="preserve">This appropriation is for cleaning the exterior of Capitol Campus buildings, beginning with the Insurance Building. Section 1091(2) sets unrealistic expectations for what the department will be able to complete within the amount appropriated. For this reason, I have vetoed Section 1091(2). However, the department will continue the cleaning and repair work with the funding provided.</w:t>
      </w:r>
    </w:p>
    <w:p>
      <w:pPr>
        <w:spacing w:before="120" w:after="0" w:line="408" w:lineRule="exact"/>
        <w:ind w:left="0" w:right="0" w:firstLine="0"/>
        <w:jc w:val="left"/>
      </w:pPr>
      <w:r>
        <w:rPr>
          <w:b/>
        </w:rPr>
        <w:t xml:space="preserve">Section 3102, page 140, Department of Ecology, Port of Port Angeles Stormwater (91000358)</w:t>
      </w:r>
    </w:p>
    <w:p>
      <w:pPr>
        <w:spacing w:before="120" w:after="0" w:line="408" w:lineRule="exact"/>
        <w:ind w:left="0" w:right="0" w:firstLine="0"/>
        <w:jc w:val="left"/>
      </w:pPr>
      <w:r>
        <w:rPr/>
        <w:t xml:space="preserve">The appropriation in Section 3102 is duplicative of Section 129 of the 2019-21 operating budget (Engrossed Substitute House Bill 1109). For this reason, I have vetoed Section 3102.</w:t>
      </w:r>
    </w:p>
    <w:p>
      <w:pPr>
        <w:spacing w:before="120" w:after="0" w:line="408" w:lineRule="exact"/>
        <w:ind w:left="0" w:right="0" w:firstLine="0"/>
        <w:jc w:val="left"/>
      </w:pPr>
      <w:r>
        <w:rPr>
          <w:b/>
        </w:rPr>
        <w:t xml:space="preserve">Section 7019, pages 315-316, Review of Hazardous Substance Tax</w:t>
      </w:r>
    </w:p>
    <w:p>
      <w:pPr>
        <w:spacing w:before="120" w:after="0" w:line="408" w:lineRule="exact"/>
        <w:ind w:left="0" w:right="0" w:firstLine="0"/>
        <w:jc w:val="left"/>
      </w:pPr>
      <w:r>
        <w:rPr/>
        <w:t xml:space="preserve">This section directs the Department of Ecology, in consultation with the Department of Revenue and the Department of Transportation, to review the enforcement of the application of the hazardous substance tax to aviation fuels and submit recommendations to the appropriate legislative committees for the application of all state and local taxes to these fuels. The budget did not include funding for this effort and the cost of this work cannot be absorbed. However, I am directing the Office of Financial Management to collaborate with these agencies to examine revenue and expenditure data in light of any relevant federal regulations. For these reasons, I have vetoed Section 7019.</w:t>
      </w:r>
    </w:p>
    <w:p>
      <w:pPr>
        <w:spacing w:before="120" w:after="0" w:line="408" w:lineRule="exact"/>
        <w:ind w:left="0" w:right="0" w:firstLine="0"/>
        <w:jc w:val="left"/>
      </w:pPr>
      <w:r>
        <w:rPr/>
        <w:t xml:space="preserve">For these reasons I have vetoed Sections 1029(5), 1043(3), 1082(2), 1083(2), 1091(2), 3102, and 7019 of Substitute House Bill No. 1102.</w:t>
      </w:r>
    </w:p>
    <w:p>
      <w:pPr>
        <w:spacing w:before="120" w:after="0" w:line="408" w:lineRule="exact"/>
        <w:ind w:left="0" w:right="0" w:firstLine="0"/>
        <w:jc w:val="left"/>
      </w:pPr>
      <w:r>
        <w:rPr/>
        <w:t xml:space="preserve">With the exception of Sections 1029(5), 1043(3), 1082(2), 1083(2), 1091(2), 3102, and 7019, Substitute House Bill No. 1102 is approved."</w:t>
      </w:r>
    </w:p>
    <w:sectPr>
      <w:pgNumType w:start="1"/>
      <w:footerReference xmlns:r="http://schemas.openxmlformats.org/officeDocument/2006/relationships" r:id="Rd24f7012ce554e6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3b49f29d34fb8" /><Relationship Type="http://schemas.openxmlformats.org/officeDocument/2006/relationships/footer" Target="/word/footer1.xml" Id="Rd24f7012ce554e65" /></Relationships>
</file>