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01706723d49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1116</w:t>
      </w:r>
    </w:p>
    <w:p>
      <w:pPr>
        <w:jc w:val="center"/>
        <w:spacing w:before="480" w:after="0" w:line="240"/>
      </w:pPr>
      <w:r>
        <w:t xml:space="preserve">Chapter </w:t>
      </w:r>
      <w:r>
        <w:rPr/>
        <w:t xml:space="preserve">65</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MOTORCYCLES--SAFETY</w:t>
      </w:r>
    </w:p>
    <w:p>
      <w:pPr>
        <w:spacing w:before="720" w:after="240" w:line="240" w:lineRule="exact"/>
        <w:ind w:left="0" w:right="0" w:firstLine="0"/>
        <w:jc w:val="center"/>
      </w:pPr>
      <w:r>
        <w:t xml:space="preserve">EFFECTIVE DATE: </w:t>
      </w:r>
      <w:r>
        <w:rPr/>
        <w:t xml:space="preserve">January 1, 2020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2019</w:t>
            </w:r>
          </w:p>
          <w:p>
            <w:pPr>
              <w:ind w:left="0" w:right="0" w:firstLine="360"/>
            </w:pPr>
            <w:r>
              <w:t xml:space="preserve">Yeas </w:t>
              <w:t xml:space="preserve">72</w:t>
            </w:r>
            <w:r>
              <w:t xml:space="preserve">  Nays </w:t>
              <w:t xml:space="preserve">25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38</w:t>
            </w:r>
            <w:r>
              <w:t xml:space="preserve">  Nays </w:t>
              <w:t xml:space="preserve">5</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19, 2019 10:46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22,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1116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Transportation (originally sponsored by Representatives Lovick and Ryu; by request of Department of Licensing and Washington Traffic Safety Commission)</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safety; amending RCW 46.81A.020, 46.20.510, 46.20.500, 3.62.090, 2.68.040, and 46.63.110;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target zero is Washington's strategic highway safety plan of zero traffic fatalities by 2030 and the number of motorcycle involved fatalities has doubled since the 1990s and remains at a high level. Motorcycles are involved in nearly twenty percent of fatal and serious injury crashes while they make up only three percent of the total registered vehicles. Motorcyclists are also at fault in seventy-five percent of motorcycle fatalities. In order to move Washington closer to target zero, the department of licensing is updating its motorcycle safety program with feedback from the national highway traffic safety administration, the Washington traffic safety commission, and other stakeholders. These changes will improve public safety by creating a more meaningful and comprehensive motorcycle endorsement test, providing training programs greater flexibility, increasing penalties to discourage unendorsed riders, and focusing motorcycle subsidies on expanding access to motorcycle ridership.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81A</w:t>
      </w:r>
      <w:r>
        <w:rPr/>
        <w:t xml:space="preserve">.</w:t>
      </w:r>
      <w:r>
        <w:t xml:space="preserve">020</w:t>
      </w:r>
      <w:r>
        <w:rPr/>
        <w:t xml:space="preserve"> and 2013 c 33 s 1 are each amended to read as follows:</w:t>
      </w:r>
    </w:p>
    <w:p>
      <w:pPr>
        <w:spacing w:before="0" w:after="0" w:line="408" w:lineRule="exact"/>
        <w:ind w:left="0" w:right="0" w:firstLine="576"/>
        <w:jc w:val="left"/>
      </w:pPr>
      <w:r>
        <w:rPr/>
        <w:t xml:space="preserve">(1) The director shall administer and enforce the law pertaining to the motorcycle skills education program as set forth in this chapter.</w:t>
      </w:r>
    </w:p>
    <w:p>
      <w:pPr>
        <w:spacing w:before="0" w:after="0" w:line="408" w:lineRule="exact"/>
        <w:ind w:left="0" w:right="0" w:firstLine="576"/>
        <w:jc w:val="left"/>
      </w:pPr>
      <w:r>
        <w:rPr/>
        <w:t xml:space="preserve">(2) The director may adopt and enforce reasonable rules that are consistent with this chapter.</w:t>
      </w:r>
    </w:p>
    <w:p>
      <w:pPr>
        <w:spacing w:before="0" w:after="0" w:line="408" w:lineRule="exact"/>
        <w:ind w:left="0" w:right="0" w:firstLine="576"/>
        <w:jc w:val="left"/>
      </w:pPr>
      <w:r>
        <w:rPr/>
        <w:t xml:space="preserve">(3) The director shall revise the Washington motorcycle safety program to:</w:t>
      </w:r>
    </w:p>
    <w:p>
      <w:pPr>
        <w:spacing w:before="0" w:after="0" w:line="408" w:lineRule="exact"/>
        <w:ind w:left="0" w:right="0" w:firstLine="576"/>
        <w:jc w:val="left"/>
      </w:pPr>
      <w:r>
        <w:rPr/>
        <w:t xml:space="preserve">(a) Institute separate novice and advanced motorcycle skills education courses for both two-wheeled and three-wheeled motorcycles that are each a minimum of eight hours </w:t>
      </w:r>
      <w:r>
        <w:t>((</w:t>
      </w:r>
      <w:r>
        <w:rPr>
          <w:strike/>
        </w:rPr>
        <w:t xml:space="preserve">and no more than sixteen hours at a cost, except as provided in subsection (5) of this section, of (i) no more than fifty dollars for Washington state residents under the age of eighteen, and (ii) no more than one hundred twenty-five dollars for Washington state residents who are eighteen years of age or older and military personnel of any age stationed in Washington state</w:t>
      </w:r>
      <w:r>
        <w:t>))</w:t>
      </w:r>
      <w:r>
        <w:rPr/>
        <w:t xml:space="preserve">;</w:t>
      </w:r>
    </w:p>
    <w:p>
      <w:pPr>
        <w:spacing w:before="0" w:after="0" w:line="408" w:lineRule="exact"/>
        <w:ind w:left="0" w:right="0" w:firstLine="576"/>
        <w:jc w:val="left"/>
      </w:pPr>
      <w:r>
        <w:rPr/>
        <w:t xml:space="preserve">(b) Encourage the use of loaned or used motorcycles for use in the motorcycle skills education course if the instructor approves them;</w:t>
      </w:r>
    </w:p>
    <w:p>
      <w:pPr>
        <w:spacing w:before="0" w:after="0" w:line="408" w:lineRule="exact"/>
        <w:ind w:left="0" w:right="0" w:firstLine="576"/>
        <w:jc w:val="left"/>
      </w:pPr>
      <w:r>
        <w:rPr/>
        <w:t xml:space="preserve">(c) Require all instructors for two-wheeled motorcycles to conduct at least three classes in a one-year period, and all instructors for three-wheeled motorcycles to conduct at least one class in a one-year period, to maintain their teaching eligibility.</w:t>
      </w:r>
    </w:p>
    <w:p>
      <w:pPr>
        <w:spacing w:before="0" w:after="0" w:line="408" w:lineRule="exact"/>
        <w:ind w:left="0" w:right="0" w:firstLine="576"/>
        <w:jc w:val="left"/>
      </w:pPr>
      <w:r>
        <w:rPr/>
        <w:t xml:space="preserve">(4) The department may enter into agreements to review and certify that a private motorcycle skills education course meets educational standards equivalent to those required of courses conducted under the motorcycle skills education program. An agreement entered into under this subsection must provide that the department may conduct periodic audits to ensure that educational standards continue to meet those required for courses conducted under the motorcycle skills education program, and that the costs of the review, certification, and audit process will be borne by the party seeking certification.</w:t>
      </w:r>
    </w:p>
    <w:p>
      <w:pPr>
        <w:spacing w:before="0" w:after="0" w:line="408" w:lineRule="exact"/>
        <w:ind w:left="0" w:right="0" w:firstLine="576"/>
        <w:jc w:val="left"/>
      </w:pPr>
      <w:r>
        <w:rPr/>
        <w:t xml:space="preserve">(5) </w:t>
      </w:r>
      <w:r>
        <w:t>((</w:t>
      </w:r>
      <w:r>
        <w:rPr>
          <w:strike/>
        </w:rPr>
        <w:t xml:space="preserve">Subject to the requirements provided in this subsection, the department must allow private motorcycle skills education programs to offer motorcycle safety education where students pay the full cost for the training. After the department has reviewed and certified that a private motorcycle skills education course proposed under this subsection meets educational standards equivalent to those offered under subsection (3)(a) of this section, the department must enter into an agreement with the private motorcycle skills education program. An agreement entered into under this subsection must provide that (a) the department may conduct periodic audits to ensure that educational standards continue to meet those of other programs approved by the department, and (b) the costs of the review, certification, and audit process will be borne by the program seeking certification</w:t>
      </w:r>
      <w:r>
        <w:t>))</w:t>
      </w:r>
      <w:r>
        <w:rPr/>
        <w:t xml:space="preserve"> </w:t>
      </w:r>
      <w:r>
        <w:rPr>
          <w:u w:val="single"/>
        </w:rPr>
        <w:t xml:space="preserve">The department shall adopt rules to establish a motorcycle operator subsidy program, which may address testing costs, offer financial need-based subsidies for motorcycle training, and employ other strategies to improve access to motorcycle ridership</w:t>
      </w:r>
      <w:r>
        <w:rPr/>
        <w:t xml:space="preserve">.</w:t>
      </w:r>
    </w:p>
    <w:p>
      <w:pPr>
        <w:spacing w:before="0" w:after="0" w:line="408" w:lineRule="exact"/>
        <w:ind w:left="0" w:right="0" w:firstLine="576"/>
        <w:jc w:val="left"/>
      </w:pPr>
      <w:r>
        <w:rPr/>
        <w:t xml:space="preserve">(6) The department shall obtain and compile information from applicants for a motorcycle endorsement regarding whether they have completed a state approved or certified motorcycle skills education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510</w:t>
      </w:r>
      <w:r>
        <w:rPr/>
        <w:t xml:space="preserve"> and 2011 c 246 s 1 are each amended to read as follows:</w:t>
      </w:r>
    </w:p>
    <w:p>
      <w:pPr>
        <w:spacing w:before="0" w:after="0" w:line="408" w:lineRule="exact"/>
        <w:ind w:left="0" w:right="0" w:firstLine="576"/>
        <w:jc w:val="left"/>
      </w:pPr>
      <w:r>
        <w:rPr/>
        <w:t xml:space="preserve">(1) </w:t>
      </w:r>
      <w:r>
        <w:rPr>
          <w:b/>
        </w:rPr>
        <w:t xml:space="preserve">Motorcycle instruction permit</w:t>
      </w:r>
      <w:r>
        <w:rPr/>
        <w:t xml:space="preserve">. A person holding a valid driver's license who wishes to learn to ride a motorcycle may apply for a motorcycle instruction permit. The department may issue a motorcycle instruction permit after the applicant has successfully passed all </w:t>
      </w:r>
      <w:r>
        <w:t>((</w:t>
      </w:r>
      <w:r>
        <w:rPr>
          <w:strike/>
        </w:rPr>
        <w:t xml:space="preserve">parts of the motorcycle examination other than the driving test</w:t>
      </w:r>
      <w:r>
        <w:t>))</w:t>
      </w:r>
      <w:r>
        <w:rPr/>
        <w:t xml:space="preserve"> </w:t>
      </w:r>
      <w:r>
        <w:rPr>
          <w:u w:val="single"/>
        </w:rPr>
        <w:t xml:space="preserve">knowledge and skills examinations required and approved by the department</w:t>
      </w:r>
      <w:r>
        <w:rPr/>
        <w:t xml:space="preserve">. The director shall collect a fee of fifteen dollars for the motorcycle instruction permit or renewal, and deposit the fee in the motorcycle safety education account of the highway safety fund.</w:t>
      </w:r>
    </w:p>
    <w:p>
      <w:pPr>
        <w:spacing w:before="0" w:after="0" w:line="408" w:lineRule="exact"/>
        <w:ind w:left="0" w:right="0" w:firstLine="576"/>
        <w:jc w:val="left"/>
      </w:pPr>
      <w:r>
        <w:rPr>
          <w:u w:val="single"/>
        </w:rPr>
        <w:t xml:space="preserve">(a) The examination for a two-wheeled motorcycle instruction permit and the examination for a three-wheeled motorcycle instruction permit must be separate and distinct examinations.</w:t>
      </w:r>
    </w:p>
    <w:p>
      <w:pPr>
        <w:spacing w:before="0" w:after="0" w:line="408" w:lineRule="exact"/>
        <w:ind w:left="0" w:right="0" w:firstLine="576"/>
        <w:jc w:val="left"/>
      </w:pPr>
      <w:r>
        <w:rPr>
          <w:u w:val="single"/>
        </w:rPr>
        <w:t xml:space="preserve">(b) The department may authorize an entity that has entered into a contract authorized under RCW 46.20.520 to administer the motorcycle instruction permit examinations.</w:t>
      </w:r>
    </w:p>
    <w:p>
      <w:pPr>
        <w:spacing w:before="0" w:after="0" w:line="408" w:lineRule="exact"/>
        <w:ind w:left="0" w:right="0" w:firstLine="576"/>
        <w:jc w:val="left"/>
      </w:pPr>
      <w:r>
        <w:rPr>
          <w:u w:val="single"/>
        </w:rPr>
        <w:t xml:space="preserve">(c) If a motorcyclist fails the motorcycle endorsement skills test, but demonstrates a level of riding skill consistent with a motorcycle instruction permit, the department may waive any further skills testing required to obtain a motorcycle instruction permit.</w:t>
      </w:r>
    </w:p>
    <w:p>
      <w:pPr>
        <w:spacing w:before="0" w:after="0" w:line="408" w:lineRule="exact"/>
        <w:ind w:left="0" w:right="0" w:firstLine="576"/>
        <w:jc w:val="left"/>
      </w:pPr>
      <w:r>
        <w:rPr/>
        <w:t xml:space="preserve">(2) </w:t>
      </w:r>
      <w:r>
        <w:rPr>
          <w:b/>
        </w:rPr>
        <w:t xml:space="preserve">Effect of motorcycle instruction permit</w:t>
      </w:r>
      <w:r>
        <w:rPr/>
        <w:t xml:space="preserve">. A person holding a motorcycle instruction permit may drive a motorcycle upon the public highways if the person has immediate possession of the permit and a valid driver's license. An individual with a motorcyclist's instruction permit may not carry passengers and may not operate a motorcycle during the hours of darkness.</w:t>
      </w:r>
    </w:p>
    <w:p>
      <w:pPr>
        <w:spacing w:before="0" w:after="0" w:line="408" w:lineRule="exact"/>
        <w:ind w:left="0" w:right="0" w:firstLine="576"/>
        <w:jc w:val="left"/>
      </w:pPr>
      <w:r>
        <w:rPr/>
        <w:t xml:space="preserve">(3) </w:t>
      </w:r>
      <w:r>
        <w:rPr>
          <w:b/>
        </w:rPr>
        <w:t xml:space="preserve">Term of motorcycle instruction permit</w:t>
      </w:r>
      <w:r>
        <w:rPr/>
        <w:t xml:space="preserve">. A motorcycle instruction permit is valid for </w:t>
      </w:r>
      <w:r>
        <w:t>((</w:t>
      </w:r>
      <w:r>
        <w:rPr>
          <w:strike/>
        </w:rPr>
        <w:t xml:space="preserve">ninety</w:t>
      </w:r>
      <w:r>
        <w:t>))</w:t>
      </w:r>
      <w:r>
        <w:rPr/>
        <w:t xml:space="preserve"> </w:t>
      </w:r>
      <w:r>
        <w:rPr>
          <w:u w:val="single"/>
        </w:rPr>
        <w:t xml:space="preserve">one hundred eighty</w:t>
      </w:r>
      <w:r>
        <w:rPr/>
        <w:t xml:space="preserve"> days from the date of issue.</w:t>
      </w:r>
    </w:p>
    <w:p>
      <w:pPr>
        <w:spacing w:before="0" w:after="0" w:line="408" w:lineRule="exact"/>
        <w:ind w:left="0" w:right="0" w:firstLine="576"/>
        <w:jc w:val="left"/>
      </w:pPr>
      <w:r>
        <w:rPr/>
        <w:t xml:space="preserve">(a) The department may issue one additional </w:t>
      </w:r>
      <w:r>
        <w:t>((</w:t>
      </w:r>
      <w:r>
        <w:rPr>
          <w:strike/>
        </w:rPr>
        <w:t xml:space="preserve">ninety</w:t>
      </w:r>
      <w:r>
        <w:t>))</w:t>
      </w:r>
      <w:r>
        <w:rPr/>
        <w:t xml:space="preserve"> </w:t>
      </w:r>
      <w:r>
        <w:rPr>
          <w:u w:val="single"/>
        </w:rPr>
        <w:t xml:space="preserve">one hundred eighty</w:t>
      </w:r>
      <w:r>
        <w:rPr/>
        <w:t xml:space="preserve">-day permit.</w:t>
      </w:r>
    </w:p>
    <w:p>
      <w:pPr>
        <w:spacing w:before="0" w:after="0" w:line="408" w:lineRule="exact"/>
        <w:ind w:left="0" w:right="0" w:firstLine="576"/>
        <w:jc w:val="left"/>
      </w:pPr>
      <w:r>
        <w:rPr/>
        <w:t xml:space="preserve">(b) </w:t>
      </w:r>
      <w:r>
        <w:t>((</w:t>
      </w:r>
      <w:r>
        <w:rPr>
          <w:strike/>
        </w:rPr>
        <w:t xml:space="preserve">The department may issue a third motorcycle instruction permit upon presentation of documented evidence that the permittee is enrolled in a motorcycle skills education program as authorized in RCW 46.81A.020 with a class start date prior to the expiration of the third permit.</w:t>
      </w:r>
      <w:r>
        <w:t>))</w:t>
      </w:r>
      <w:r>
        <w:rPr/>
        <w:t xml:space="preserve"> The department may not issue more than </w:t>
      </w:r>
      <w:r>
        <w:t>((</w:t>
      </w:r>
      <w:r>
        <w:rPr>
          <w:strike/>
        </w:rPr>
        <w:t xml:space="preserve">three</w:t>
      </w:r>
      <w:r>
        <w:t>))</w:t>
      </w:r>
      <w:r>
        <w:rPr/>
        <w:t xml:space="preserve"> </w:t>
      </w:r>
      <w:r>
        <w:rPr>
          <w:u w:val="single"/>
        </w:rPr>
        <w:t xml:space="preserve">two</w:t>
      </w:r>
      <w:r>
        <w:rPr/>
        <w:t xml:space="preserve"> motorcycle instruction permits to an applicant within a five-year period.</w:t>
      </w:r>
    </w:p>
    <w:p>
      <w:pPr>
        <w:spacing w:before="0" w:after="0" w:line="408" w:lineRule="exact"/>
        <w:ind w:left="0" w:right="0" w:firstLine="576"/>
        <w:jc w:val="left"/>
      </w:pPr>
      <w:r>
        <w:rPr>
          <w:u w:val="single"/>
        </w:rPr>
        <w:t xml:space="preserve">(4) The director may adopt and enforce reasonable rules that are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2018 c 60 s 4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 </w:t>
      </w:r>
      <w:r>
        <w:rPr>
          <w:u w:val="single"/>
        </w:rPr>
        <w:t xml:space="preserve">A person who violates this section commits a traffic infraction and is subject to: (a) The base penalty provided under RCW 46.63.110; and (b) an additional monetary penalty of two hundred fifty dollars, which must be deposited in the motorcycle safety education account under RCW 46.68.065.</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Persons under sixteen years of age may not operate a class 3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w:t>
      </w:r>
      <w:r>
        <w:rPr>
          <w:u w:val="single"/>
        </w:rPr>
        <w:t xml:space="preserve">the additional penalty imposed under RCW 46.20.500,</w:t>
      </w:r>
      <w:r>
        <w:rPr/>
        <w:t xml:space="preserve"> or the penalty assessment imposed under RCW 10.99.080.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penalty under RCW 46.20.500.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 The additional monetary penalty for a violation of RCW 46.20.500 is not subject to assessments or fees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2019.</w:t>
      </w:r>
    </w:p>
    <w:p>
      <w:pPr>
        <w:spacing w:before="0" w:after="0" w:line="408" w:lineRule="exact"/>
        <w:ind w:left="0" w:right="0" w:firstLine="576"/>
        <w:jc w:val="left"/>
      </w:pPr>
      <w:r>
        <w:rPr/>
        <w:t xml:space="preserve">Passed by the Senate April 12, 2019.</w:t>
      </w:r>
    </w:p>
    <w:p>
      <w:pPr>
        <w:spacing w:before="0" w:after="0" w:line="408" w:lineRule="exact"/>
        <w:ind w:left="0" w:right="0" w:firstLine="576"/>
        <w:jc w:val="left"/>
      </w:pPr>
      <w:r>
        <w:rPr/>
        <w:t xml:space="preserve">Approved by the Governor April 19, 2019.</w:t>
      </w:r>
    </w:p>
    <w:p>
      <w:pPr>
        <w:spacing w:before="0" w:after="0" w:line="408" w:lineRule="exact"/>
        <w:ind w:left="0" w:right="0" w:firstLine="576"/>
        <w:jc w:val="left"/>
      </w:pPr>
      <w:r>
        <w:rPr/>
        <w:t xml:space="preserve">Filed in Office of Secretary of State April 22, 2019.</w:t>
      </w:r>
    </w:p>
    <w:sectPr>
      <w:pgNumType w:start="1"/>
      <w:footerReference xmlns:r="http://schemas.openxmlformats.org/officeDocument/2006/relationships" r:id="Rd835760568214cf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47d1eba6ae4930" /><Relationship Type="http://schemas.openxmlformats.org/officeDocument/2006/relationships/footer" Target="/word/footer1.xml" Id="Rd835760568214cf0" /></Relationships>
</file>