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42b6bdaa14f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1257</w:t>
      </w:r>
    </w:p>
    <w:p>
      <w:pPr>
        <w:jc w:val="center"/>
        <w:spacing w:before="480" w:after="0" w:line="240"/>
      </w:pPr>
      <w:r>
        <w:t xml:space="preserve">Chapter </w:t>
      </w:r>
      <w:r>
        <w:rPr/>
        <w:t xml:space="preserve">285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ENERGY EFFICIENCY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1257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1257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03/21/19.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 and</w:t>
      </w:r>
    </w:p>
    <w:p>
      <w:pPr>
        <w:spacing w:before="0" w:after="0" w:line="408" w:lineRule="exact"/>
        <w:ind w:left="0" w:right="0" w:firstLine="576"/>
        <w:jc w:val="left"/>
      </w:pPr>
      <w:r>
        <w:rPr/>
        <w:t xml:space="preserve">(d)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u w:val="single"/>
        </w:rPr>
        <w:t xml:space="preserve">(c) The required rules required under this subsection must be implemented by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f1098bf7a7944b4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d6d609e8b4b88" /><Relationship Type="http://schemas.openxmlformats.org/officeDocument/2006/relationships/footer" Target="/word/footer1.xml" Id="Rf1098bf7a7944b47" /></Relationships>
</file>