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9c0e856ad41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1302</w:t>
      </w:r>
    </w:p>
    <w:p>
      <w:pPr>
        <w:jc w:val="center"/>
        <w:spacing w:before="480" w:after="0" w:line="240"/>
      </w:pPr>
      <w:r>
        <w:t xml:space="preserve">Chapter </w:t>
      </w:r>
      <w:r>
        <w:rPr/>
        <w:t xml:space="preserve">213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GAMBLING SELF-EXCLUSION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Kloba, Ryu, MacEwen, Reeves, Stanford, Vick, Kirby, Jenkin, Morgan, Appleton, Cody, Irwin, Davis, Bergquist, Jinkins, Ormsby, and Thai; by request of Gambling Commission)</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and amending RCW 9.46.071, 42.56.230, and 67.70.040.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w:t>
      </w:r>
      <w:r>
        <w:t>((</w:t>
      </w:r>
      <w:r>
        <w:rPr>
          <w:strike/>
        </w:rPr>
        <w:t xml:space="preserve">are problem or pathological gamblers</w:t>
      </w:r>
      <w:r>
        <w:t>))</w:t>
      </w:r>
      <w:r>
        <w:rPr/>
        <w:t xml:space="preserve"> </w:t>
      </w:r>
      <w:r>
        <w:rPr>
          <w:u w:val="single"/>
        </w:rPr>
        <w:t xml:space="preserve">have a gambling problem or gambling disorder</w:t>
      </w:r>
      <w:r>
        <w:rPr/>
        <w:t xml:space="preserve">.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w:t>
      </w:r>
      <w:r>
        <w:rPr>
          <w:u w:val="single"/>
        </w:rPr>
        <w:t xml:space="preserve">gambling</w:t>
      </w:r>
      <w:r>
        <w:rPr/>
        <w:t xml:space="preserve"> and </w:t>
      </w:r>
      <w:r>
        <w:t>((</w:t>
      </w:r>
      <w:r>
        <w:rPr>
          <w:strike/>
        </w:rPr>
        <w:t xml:space="preserve">pathological gamblers</w:t>
      </w:r>
      <w:r>
        <w:t>))</w:t>
      </w:r>
      <w:r>
        <w:rPr/>
        <w:t xml:space="preserve"> </w:t>
      </w:r>
      <w:r>
        <w:rPr>
          <w:u w:val="single"/>
        </w:rPr>
        <w:t xml:space="preserve">gambling disorders</w:t>
      </w:r>
      <w:r>
        <w:rPr/>
        <w:t xml:space="preserve">. </w:t>
      </w:r>
      <w:r>
        <w:t>((</w:t>
      </w:r>
      <w:r>
        <w:rPr>
          <w:strike/>
        </w:rPr>
        <w:t xml:space="preserve">Therefore,</w:t>
      </w:r>
      <w:r>
        <w:t>))</w:t>
      </w:r>
    </w:p>
    <w:p>
      <w:pPr>
        <w:spacing w:before="0" w:after="0" w:line="408" w:lineRule="exact"/>
        <w:ind w:left="0" w:right="0" w:firstLine="576"/>
        <w:jc w:val="left"/>
      </w:pPr>
      <w:r>
        <w:rPr>
          <w:u w:val="single"/>
        </w:rPr>
        <w:t xml:space="preserve">(b) T</w:t>
      </w:r>
      <w:r>
        <w:rPr/>
        <w:t xml:space="preserve">he Washington state gambling commission, the Washington horse racing commission, and the state lottery commission shall jointly develop </w:t>
      </w:r>
      <w:r>
        <w:rPr>
          <w:u w:val="single"/>
        </w:rPr>
        <w:t xml:space="preserve">problem gambling and gambling disorder</w:t>
      </w:r>
      <w:r>
        <w:rPr/>
        <w:t xml:space="preserve"> informational signs </w:t>
      </w:r>
      <w:r>
        <w:t>((</w:t>
      </w:r>
      <w:r>
        <w:rPr>
          <w:strike/>
        </w:rPr>
        <w:t xml:space="preserve">concerning problem and pathological gambling</w:t>
      </w:r>
      <w:r>
        <w:t>))</w:t>
      </w:r>
      <w:r>
        <w:rPr/>
        <w:t xml:space="preserve"> which include a toll-free hotline number for </w:t>
      </w:r>
      <w:r>
        <w:rPr>
          <w:u w:val="single"/>
        </w:rPr>
        <w:t xml:space="preserve">individuals with a gambling</w:t>
      </w:r>
      <w:r>
        <w:rPr/>
        <w:t xml:space="preserve"> problem </w:t>
      </w:r>
      <w:r>
        <w:t>((</w:t>
      </w:r>
      <w:r>
        <w:rPr>
          <w:strike/>
        </w:rPr>
        <w:t xml:space="preserve">and pathological gamblers</w:t>
      </w:r>
      <w:r>
        <w:t>))</w:t>
      </w:r>
      <w:r>
        <w:rPr/>
        <w:t xml:space="preserve"> </w:t>
      </w:r>
      <w:r>
        <w:rPr>
          <w:u w:val="single"/>
        </w:rPr>
        <w:t xml:space="preserve">or gambling disorder</w:t>
      </w:r>
      <w:r>
        <w:rPr/>
        <w:t xml:space="preserve">. The signs shall be placed in the establishments of gambling licensees, horse racing licensees, and lottery retailers. </w:t>
      </w:r>
      <w:r>
        <w:t>((</w:t>
      </w:r>
      <w:r>
        <w:rPr>
          <w:strike/>
        </w:rPr>
        <w:t xml:space="preserve">In addition,</w:t>
      </w:r>
      <w:r>
        <w:t>))</w:t>
      </w:r>
    </w:p>
    <w:p>
      <w:pPr>
        <w:spacing w:before="0" w:after="0" w:line="408" w:lineRule="exact"/>
        <w:ind w:left="0" w:right="0" w:firstLine="576"/>
        <w:jc w:val="left"/>
      </w:pPr>
      <w:r>
        <w:rPr>
          <w:u w:val="single"/>
        </w:rPr>
        <w:t xml:space="preserve">(c) T</w:t>
      </w:r>
      <w:r>
        <w:rPr/>
        <w:t xml:space="preserve">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u w:val="single"/>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u w:val="single"/>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u w:val="single"/>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u w:val="single"/>
        </w:rPr>
        <w:t xml:space="preserve">(iv) The commission must adopt rules establishing the self-exclusion program by June 30, 2021.</w:t>
      </w:r>
    </w:p>
    <w:p>
      <w:pPr>
        <w:spacing w:before="0" w:after="0" w:line="408" w:lineRule="exact"/>
        <w:ind w:left="0" w:right="0" w:firstLine="576"/>
        <w:jc w:val="left"/>
      </w:pPr>
      <w:r>
        <w:rPr>
          <w:u w:val="single"/>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u w:val="single"/>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w:t>
      </w:r>
      <w:r>
        <w:rPr>
          <w:u w:val="single"/>
        </w:rPr>
        <w:t xml:space="preserve">gambling</w:t>
      </w:r>
      <w:r>
        <w:rPr/>
        <w:t xml:space="preserve"> and </w:t>
      </w:r>
      <w:r>
        <w:t>((</w:t>
      </w:r>
      <w:r>
        <w:rPr>
          <w:strike/>
        </w:rPr>
        <w:t xml:space="preserve">pathological</w:t>
      </w:r>
      <w:r>
        <w:t>))</w:t>
      </w:r>
      <w:r>
        <w:rPr/>
        <w:t xml:space="preserve"> gambling </w:t>
      </w:r>
      <w:r>
        <w:rPr>
          <w:u w:val="single"/>
        </w:rPr>
        <w:t xml:space="preserve">disorder</w:t>
      </w:r>
      <w:r>
        <w:rPr/>
        <w:t xml:space="preserve">.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w:t>
      </w:r>
      <w:r>
        <w:rPr>
          <w:u w:val="single"/>
        </w:rPr>
        <w:t xml:space="preserve">problem gambling and gambling disorder</w:t>
      </w:r>
      <w:r>
        <w:rPr/>
        <w:t xml:space="preserve"> treatment </w:t>
      </w:r>
      <w:r>
        <w:t>((</w:t>
      </w:r>
      <w:r>
        <w:rPr>
          <w:strike/>
        </w:rPr>
        <w:t xml:space="preserve">of problem and pathological gambling</w:t>
      </w:r>
      <w:r>
        <w:t>))</w:t>
      </w:r>
      <w:r>
        <w:rPr/>
        <w:t xml:space="preserve">;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w:t>
      </w:r>
      <w:r>
        <w:rPr>
          <w:u w:val="single"/>
        </w:rPr>
        <w:t xml:space="preserve">problem gambling and gambling disorder</w:t>
      </w:r>
      <w:r>
        <w:rPr/>
        <w:t xml:space="preserve"> services authorized in this section </w:t>
      </w:r>
      <w:r>
        <w:t>((</w:t>
      </w:r>
      <w:r>
        <w:rPr>
          <w:strike/>
        </w:rPr>
        <w:t xml:space="preserve">for problem and pathological gamblers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w:t>
      </w:r>
    </w:p>
    <w:p>
      <w:pPr>
        <w:spacing w:before="0" w:after="0" w:line="408" w:lineRule="exact"/>
        <w:ind w:left="0" w:right="0" w:firstLine="576"/>
        <w:jc w:val="left"/>
      </w:pPr>
      <w:r>
        <w:rPr/>
        <w:t xml:space="preserve">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and (iii) transfer to the state's general fund. Transfers to the state general fund shall be made in compliance with RCW 43.01.050;</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0" w:after="0" w:line="408" w:lineRule="exact"/>
        <w:ind w:left="0" w:right="0" w:firstLine="576"/>
        <w:jc w:val="left"/>
      </w:pPr>
      <w:r>
        <w:rPr>
          <w:u w:val="single"/>
        </w:rPr>
        <w:t xml:space="preserve">(5)(a) By June 30, 2021, to adopt rules to establish a program allowing a person to voluntarily exclude themselves from lottery activities including, but not limited to:</w:t>
      </w:r>
    </w:p>
    <w:p>
      <w:pPr>
        <w:spacing w:before="0" w:after="0" w:line="408" w:lineRule="exact"/>
        <w:ind w:left="0" w:right="0" w:firstLine="576"/>
        <w:jc w:val="left"/>
      </w:pPr>
      <w:r>
        <w:rPr>
          <w:u w:val="single"/>
        </w:rPr>
        <w:t xml:space="preserve">(i) Enrolling in a player loyalty or reward program operated or maintained by the lottery;</w:t>
      </w:r>
    </w:p>
    <w:p>
      <w:pPr>
        <w:spacing w:before="0" w:after="0" w:line="408" w:lineRule="exact"/>
        <w:ind w:left="0" w:right="0" w:firstLine="576"/>
        <w:jc w:val="left"/>
      </w:pPr>
      <w:r>
        <w:rPr>
          <w:u w:val="single"/>
        </w:rPr>
        <w:t xml:space="preserve">(ii) Entering or winning any second chance lottery promotion; and</w:t>
      </w:r>
    </w:p>
    <w:p>
      <w:pPr>
        <w:spacing w:before="0" w:after="0" w:line="408" w:lineRule="exact"/>
        <w:ind w:left="0" w:right="0" w:firstLine="576"/>
        <w:jc w:val="left"/>
      </w:pPr>
      <w:r>
        <w:rPr>
          <w:u w:val="single"/>
        </w:rPr>
        <w:t xml:space="preserve">(iii) Claiming or receiving from the lottery any monetary, promotional, or merchandise prize valued at more than six hundred dollars. Monetary prizes valued at more than six hundred dollars must be transferred to the problem gambling account created in RCW 41.05.751 after payment of any debts pursuant to RCW 67.70.255. Promotional and merchandise prizes valued at more than six hundred dollars must be retained by the lottery.</w:t>
      </w:r>
    </w:p>
    <w:p>
      <w:pPr>
        <w:spacing w:before="0" w:after="0" w:line="408" w:lineRule="exact"/>
        <w:ind w:left="0" w:right="0" w:firstLine="576"/>
        <w:jc w:val="left"/>
      </w:pPr>
      <w:r>
        <w:rPr>
          <w:u w:val="single"/>
        </w:rPr>
        <w:t xml:space="preserve">(b) An individual who participates in the self-exclusion program does not have a cause of action against the state of Washington, the commission, or any licensed retailer, its employees, or officers for any acts or omissions in processing or enforcing the requirements of the self-exclusion program.</w:t>
      </w:r>
    </w:p>
    <w:p>
      <w:pPr>
        <w:spacing w:before="0" w:after="0" w:line="408" w:lineRule="exact"/>
        <w:ind w:left="0" w:right="0" w:firstLine="576"/>
        <w:jc w:val="left"/>
      </w:pPr>
      <w:r>
        <w:rPr>
          <w:u w:val="single"/>
        </w:rPr>
        <w:t xml:space="preserve">(c) Any personal information collected, stored, or accessed under the self-exclusion program may not be disseminated for any purpose other than the administration of the self-exclusion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5f1e760598264b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0b872835541d0" /><Relationship Type="http://schemas.openxmlformats.org/officeDocument/2006/relationships/footer" Target="/word/footer1.xml" Id="R5f1e760598264be1" /></Relationships>
</file>