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5f10e81764e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1303</w:t>
      </w:r>
    </w:p>
    <w:p>
      <w:pPr>
        <w:jc w:val="center"/>
        <w:spacing w:before="480" w:after="0" w:line="240"/>
      </w:pPr>
      <w:r>
        <w:t xml:space="preserve">Chapter </w:t>
      </w:r>
      <w:r>
        <w:rPr/>
        <w:t xml:space="preserve">97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WORKING CONNECTIONS CHILD CARE--WORK REQUIREMENT FOR CERTAIN STUDENTS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90</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43</w:t>
            </w:r>
            <w:r>
              <w:t xml:space="preserve">  Nays </w:t>
              <w:t xml:space="preserve">4</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Shewmake, Eslick, Pollet, Griffey, Riccelli, Senn, Appleton, Dolan, Frame, Paul, Goodman, Robinson, Springer, Lekanoff, Macri, Thai, Tharinger, Stanford, Bergquist, Jinkins, Leavitt,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completion for students at institutions of higher education, especially at community and technical colleges, by removing restrictions on subsidized child care; amending RCW 43.216.135; adding a new section to chapter 28B.50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(CTC) students, which represents twenty-three percent of all CTC students in the state, are parents of dependent children. Student parents represent more than one-quarter of CTC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u w:val="single"/>
        </w:rPr>
        <w:t xml:space="preserve">(i) A full-time student of a community, technical, or tribal college; and</w:t>
      </w:r>
    </w:p>
    <w:p>
      <w:pPr>
        <w:spacing w:before="0" w:after="0" w:line="408" w:lineRule="exact"/>
        <w:ind w:left="0" w:right="0" w:firstLine="576"/>
        <w:jc w:val="left"/>
      </w:pPr>
      <w:r>
        <w:rPr>
          <w:u w:val="single"/>
        </w:rPr>
        <w:t xml:space="preserve">(ii) Pursuing a certificate in nursing, early childhood education, a mental health profession, or paraeducation.</w:t>
      </w:r>
    </w:p>
    <w:p>
      <w:pPr>
        <w:spacing w:before="0" w:after="0" w:line="408" w:lineRule="exact"/>
        <w:ind w:left="0" w:right="0" w:firstLine="576"/>
        <w:jc w:val="left"/>
      </w:pPr>
      <w:r>
        <w:rPr>
          <w:u w:val="single"/>
        </w:rPr>
        <w:t xml:space="preserve">(b) An applicant or consumer is a full-time student for the purposes of this subsection if he or she meets the college's definition of a full-time student. The student must be maintaining passing grades and be in good standing pursuant to college attendance requirements.</w:t>
      </w:r>
    </w:p>
    <w:p>
      <w:pPr>
        <w:spacing w:before="0" w:after="0" w:line="408" w:lineRule="exact"/>
        <w:ind w:left="0" w:right="0" w:firstLine="576"/>
        <w:jc w:val="left"/>
      </w:pPr>
      <w:r>
        <w:rPr>
          <w:u w:val="single"/>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44079a6420b04e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bb228e202434f" /><Relationship Type="http://schemas.openxmlformats.org/officeDocument/2006/relationships/footer" Target="/word/footer1.xml" Id="R44079a6420b04ea4" /></Relationships>
</file>