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e20ff5e134c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1326</w:t>
      </w:r>
    </w:p>
    <w:p>
      <w:pPr>
        <w:jc w:val="center"/>
        <w:spacing w:before="480" w:after="0" w:line="240"/>
      </w:pPr>
      <w:r>
        <w:t xml:space="preserve">Chapter </w:t>
      </w:r>
      <w:r>
        <w:rPr/>
        <w:t xml:space="preserve">443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DNA SAMPLE COLLECTION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and Goodman)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biological samples for entry into the combined DNA index system;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u w:val="single"/>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and before January 1, 2020.</w:t>
      </w:r>
    </w:p>
    <w:p>
      <w:pPr>
        <w:spacing w:before="0" w:after="0" w:line="408" w:lineRule="exact"/>
        <w:ind w:left="0" w:right="0" w:firstLine="576"/>
        <w:jc w:val="left"/>
      </w:pPr>
      <w:r>
        <w:rPr>
          <w:u w:val="single"/>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(4)</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w:t>
      </w:r>
      <w:r>
        <w:rPr>
          <w:u w:val="single"/>
        </w:rPr>
        <w:t xml:space="preserve">jail facility</w:t>
      </w:r>
      <w:r>
        <w:rPr/>
        <w:t xml:space="preserve">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t>((</w:t>
      </w:r>
      <w:r>
        <w:rPr>
          <w:strike/>
        </w:rPr>
        <w:t xml:space="preserve">and do not serve a term of confinement in</w:t>
      </w:r>
      <w:r>
        <w:t>))</w:t>
      </w:r>
      <w:r>
        <w:rPr/>
        <w:t xml:space="preserve"> </w:t>
      </w:r>
      <w:r>
        <w:rPr>
          <w:u w:val="single"/>
        </w:rPr>
        <w:t xml:space="preserve">department of children, youth, and families facility, or</w:t>
      </w:r>
      <w:r>
        <w:rPr/>
        <w:t xml:space="preserve">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(6)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(7)</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forensic laboratory services bureau of the Washington state patrol is responsible for testing performed on all biological samples that are collected under </w:t>
      </w:r>
      <w:r>
        <w:t>((</w:t>
      </w:r>
      <w:r>
        <w:rPr>
          <w:strike/>
        </w:rPr>
        <w:t xml:space="preserve">subsection (1) of</w:t>
      </w:r>
      <w:r>
        <w:t>))</w:t>
      </w:r>
      <w:r>
        <w:rPr/>
        <w:t xml:space="preserve">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subsections (2) and (3)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0d5d55b96f84a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4094a41b44f1d" /><Relationship Type="http://schemas.openxmlformats.org/officeDocument/2006/relationships/footer" Target="/word/footer1.xml" Id="Rf0d5d55b96f84acf" /></Relationships>
</file>