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73163037a47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1545</w:t>
      </w:r>
    </w:p>
    <w:p>
      <w:pPr>
        <w:jc w:val="center"/>
        <w:spacing w:before="480" w:after="0" w:line="240"/>
      </w:pPr>
      <w:r>
        <w:t xml:space="preserve">Chapter </w:t>
      </w:r>
      <w:r>
        <w:rPr/>
        <w:t xml:space="preserve">167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BALLOT DECLARATIONS--CURING--RECORDS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1545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Mead, Hudgins, Morgan, Ramos, Gregerson, Wylie, Appleton, Bergquist, Doglio, Jinkins, and Pollet)</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curing ballots to assure that votes are counted; and amending RCW 29A.60.165.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2013 c 11 s 63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and advise the voter of the correct procedures for completing the unsigned declaration.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enclosing a copy of the declaration, and advise the voter of the correct procedures for updating his or her signature on the voter registration file. If the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A voter may not cure a missing or mismatched signature for purposes of counting the ballot in a recount.</w:t>
      </w:r>
    </w:p>
    <w:p>
      <w:pPr>
        <w:spacing w:before="0" w:after="0" w:line="408" w:lineRule="exact"/>
        <w:ind w:left="0" w:right="0" w:firstLine="576"/>
        <w:jc w:val="left"/>
      </w:pPr>
      <w:r>
        <w:rPr/>
        <w:t xml:space="preserve">(4) A record must be kept of all ballots with missing and mismatched signatures. The record must contain the date on which the voter was contacted or the notice was mailed, as well as the date on which the voter submitted updated information. </w:t>
      </w:r>
      <w:r>
        <w:rPr>
          <w:u w:val="single"/>
        </w:rPr>
        <w:t xml:space="preserve">The record must be updated each day that ballots are processed under RCW 29A.60.160, each time a voter was contacted or the notice was mailed, and when the voter submitted updated information.</w:t>
      </w:r>
      <w:r>
        <w:rPr/>
        <w:t xml:space="preserve"> </w:t>
      </w:r>
      <w:r>
        <w:t>((</w:t>
      </w:r>
      <w:r>
        <w:rPr>
          <w:strike/>
        </w:rPr>
        <w:t xml:space="preserve">That record is a public record under chapter 42.56 RCW and may be disclosed to interested parties on written request</w:t>
      </w:r>
      <w:r>
        <w:t>))</w:t>
      </w:r>
      <w:r>
        <w:rPr/>
        <w:t xml:space="preserve"> </w:t>
      </w:r>
      <w:r>
        <w:rPr>
          <w:u w:val="single"/>
        </w:rPr>
        <w:t xml:space="preserve">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190b55b96d534b1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aa0bd660a48df" /><Relationship Type="http://schemas.openxmlformats.org/officeDocument/2006/relationships/footer" Target="/word/footer1.xml" Id="R190b55b96d534b1c" /></Relationships>
</file>