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b3b39f9d784b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1590</w:t>
      </w:r>
    </w:p>
    <w:p>
      <w:pPr>
        <w:jc w:val="center"/>
        <w:spacing w:before="480" w:after="0" w:line="240"/>
      </w:pPr>
      <w:r>
        <w:t xml:space="preserve">Chapter </w:t>
      </w:r>
      <w:r>
        <w:rPr/>
        <w:t xml:space="preserve">222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AFFORDABLE HOUSING SALES AND USE TAX--COUNCILMANIC AUTHORITY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52</w:t>
            </w:r>
            <w:r>
              <w:t xml:space="preserve">  Nays </w:t>
              <w:t xml:space="preserve">44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1590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Doglio, Dolan, Macri, Cody, Gregerson, Wylie, Appleton, Robinson, Ormsby, Frame, and Davis</w:t>
      </w:r>
    </w:p>
    <w:p/>
    <w:p>
      <w:r>
        <w:rPr>
          <w:t xml:space="preserve">Read first time 01/24/19.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local sales and use tax for affordable housing to be imposed by a councilmanic authority; and amending RCW 82.14.530.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w:t>
      </w:r>
      <w:r>
        <w:rPr>
          <w:u w:val="single"/>
        </w:rPr>
        <w:t xml:space="preserve">(i)</w:t>
      </w:r>
      <w:r>
        <w:rPr/>
        <w:t xml:space="preserve">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u w:val="single"/>
        </w:rPr>
        <w:t xml:space="preserve">(ii) As an alternative to the authority provided in (a)(i) of this subsection, a county legislative authority may impose, without a proposition approved by a majority of persons voting, a sales and use tax in accordance with the terms of this chapter.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w:t>
      </w:r>
      <w:r>
        <w:t>((</w:t>
      </w:r>
      <w:r>
        <w:rPr>
          <w:strike/>
        </w:rPr>
        <w:t xml:space="preserve">with a population of one million five hundred thousand or less has not imposed</w:t>
      </w:r>
      <w:r>
        <w:t>))</w:t>
      </w:r>
      <w:r>
        <w:rPr/>
        <w:t xml:space="preserve"> </w:t>
      </w:r>
      <w:r>
        <w:rPr>
          <w:u w:val="single"/>
        </w:rPr>
        <w:t xml:space="preserve">does not impose</w:t>
      </w:r>
      <w:r>
        <w:rPr/>
        <w:t xml:space="preserve"> the full tax rate authorized under (a) of this subsection </w:t>
      </w:r>
      <w:r>
        <w:t>((</w:t>
      </w:r>
      <w:r>
        <w:rPr>
          <w:strike/>
        </w:rPr>
        <w:t xml:space="preserve">within two years of October 9, 2015</w:t>
      </w:r>
      <w:r>
        <w:t>))</w:t>
      </w:r>
      <w:r>
        <w:rPr/>
        <w:t xml:space="preserve"> </w:t>
      </w:r>
      <w:r>
        <w:rPr>
          <w:u w:val="single"/>
        </w:rPr>
        <w:t xml:space="preserve">by September 30, 2020</w:t>
      </w:r>
      <w:r>
        <w:rPr/>
        <w:t xml:space="preserve">, any city legislative authority located in that county may </w:t>
      </w:r>
      <w:r>
        <w:t>((</w:t>
      </w:r>
      <w:r>
        <w:rPr>
          <w:strike/>
        </w:rPr>
        <w:t xml:space="preserve">submit</w:t>
      </w:r>
      <w:r>
        <w:t>))</w:t>
      </w:r>
      <w:r>
        <w:rPr>
          <w:u w:val="single"/>
        </w:rPr>
        <w:t xml:space="preserve">:</w:t>
      </w:r>
    </w:p>
    <w:p>
      <w:pPr>
        <w:spacing w:before="0" w:after="0" w:line="408" w:lineRule="exact"/>
        <w:ind w:left="0" w:right="0" w:firstLine="576"/>
        <w:jc w:val="left"/>
      </w:pPr>
      <w:r>
        <w:rPr>
          <w:u w:val="single"/>
        </w:rPr>
        <w:t xml:space="preserve">(A) Submit</w:t>
      </w:r>
      <w:r>
        <w:rPr/>
        <w:t xml:space="preserve">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w:t>
      </w:r>
      <w:r>
        <w:rPr>
          <w:u w:val="single"/>
        </w:rPr>
        <w:t xml:space="preserve">;</w:t>
      </w:r>
    </w:p>
    <w:p>
      <w:pPr>
        <w:spacing w:before="0" w:after="0" w:line="408" w:lineRule="exact"/>
        <w:ind w:left="0" w:right="0" w:firstLine="576"/>
        <w:jc w:val="left"/>
      </w:pPr>
      <w:r>
        <w:rPr>
          <w:u w:val="single"/>
        </w:rPr>
        <w:t xml:space="preserve">(B) Impose, without a proposition approved by a majority of persons voting, the whole or remainder of the sales and use tax rate in accordance with the terms of this chapter</w:t>
      </w:r>
      <w:r>
        <w:rPr/>
        <w:t xml:space="preserve">.</w:t>
      </w:r>
    </w:p>
    <w:p>
      <w:pPr>
        <w:spacing w:before="0" w:after="0" w:line="408" w:lineRule="exact"/>
        <w:ind w:left="0" w:right="0" w:firstLine="576"/>
        <w:jc w:val="left"/>
      </w:pPr>
      <w:r>
        <w:rPr>
          <w:u w:val="single"/>
        </w:rPr>
        <w:t xml:space="preserve">(ii)</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t>((</w:t>
      </w:r>
      <w:r>
        <w:rPr>
          <w:strike/>
        </w:rPr>
        <w:t xml:space="preserve">(ii) If a</w:t>
      </w:r>
      <w:r>
        <w:t>))</w:t>
      </w:r>
      <w:r>
        <w:rPr/>
        <w:t xml:space="preserve"> </w:t>
      </w:r>
      <w:r>
        <w:rPr>
          <w:u w:val="single"/>
        </w:rPr>
        <w:t xml:space="preserve">(iii) A</w:t>
      </w:r>
      <w:r>
        <w:rPr/>
        <w:t xml:space="preserve"> county with a population of greater than one million five hundred thousand </w:t>
      </w:r>
      <w:r>
        <w:t>((</w:t>
      </w:r>
      <w:r>
        <w:rPr>
          <w:strike/>
        </w:rPr>
        <w:t xml:space="preserve">has not imposed the full</w:t>
      </w:r>
      <w:r>
        <w:t>))</w:t>
      </w:r>
      <w:r>
        <w:rPr/>
        <w:t xml:space="preserve"> </w:t>
      </w:r>
      <w:r>
        <w:rPr>
          <w:u w:val="single"/>
        </w:rPr>
        <w:t xml:space="preserve">may impose the</w:t>
      </w:r>
      <w:r>
        <w:rPr/>
        <w:t xml:space="preserve"> tax authorized under (a)</w:t>
      </w:r>
      <w:r>
        <w:rPr>
          <w:u w:val="single"/>
        </w:rPr>
        <w:t xml:space="preserve">(ii)</w:t>
      </w:r>
      <w:r>
        <w:rPr/>
        <w:t xml:space="preserve"> of this subsection </w:t>
      </w:r>
      <w:r>
        <w:t>((</w:t>
      </w:r>
      <w:r>
        <w:rPr>
          <w:strike/>
        </w:rPr>
        <w:t xml:space="preserve">within three years of October 9, 2015, any city legislative authority</w:t>
      </w:r>
      <w:r>
        <w:t>))</w:t>
      </w:r>
      <w:r>
        <w:rPr/>
        <w:t xml:space="preserve"> </w:t>
      </w:r>
      <w:r>
        <w:rPr>
          <w:u w:val="single"/>
        </w:rPr>
        <w:t xml:space="preserve">only if the county plans to spend at least thirty percent of the moneys collected under this section that are attributable to taxable activities or events within any city with a population greater than sixty thousand</w:t>
      </w:r>
      <w:r>
        <w:rPr/>
        <w:t xml:space="preserve"> located in that county </w:t>
      </w:r>
      <w:r>
        <w:t>((</w:t>
      </w:r>
      <w:r>
        <w:rPr>
          <w:strike/>
        </w:rPr>
        <w:t xml:space="preserve">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r>
        <w:t>))</w:t>
      </w:r>
      <w:r>
        <w:rPr/>
        <w:t xml:space="preserve"> </w:t>
      </w:r>
      <w:r>
        <w:rPr>
          <w:u w:val="single"/>
        </w:rPr>
        <w:t xml:space="preserve">within that city's boundaries</w:t>
      </w:r>
      <w:r>
        <w:rPr/>
        <w:t xml:space="preserve">.</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w:t>
      </w:r>
      <w:r>
        <w:t>((</w:t>
      </w:r>
      <w:r>
        <w:rPr>
          <w:strike/>
        </w:rPr>
        <w:t xml:space="preserve">mental illness</w:t>
      </w:r>
      <w:r>
        <w:t>))</w:t>
      </w:r>
      <w:r>
        <w:rPr/>
        <w:t xml:space="preserve"> </w:t>
      </w:r>
      <w:r>
        <w:rPr>
          <w:u w:val="single"/>
        </w:rPr>
        <w:t xml:space="preserve">behavioral health disabilities</w:t>
      </w:r>
      <w:r>
        <w:rPr/>
        <w:t xml:space="preserve">;</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36729574d26a47a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2500fe07514903" /><Relationship Type="http://schemas.openxmlformats.org/officeDocument/2006/relationships/footer" Target="/word/footer1.xml" Id="R36729574d26a47a0" /></Relationships>
</file>