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061daf06eb4e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1602</w:t>
      </w:r>
    </w:p>
    <w:p>
      <w:pPr>
        <w:jc w:val="center"/>
        <w:spacing w:before="480" w:after="0" w:line="240"/>
      </w:pPr>
      <w:r>
        <w:t xml:space="preserve">Chapter </w:t>
      </w:r>
      <w:r>
        <w:rPr/>
        <w:t xml:space="preserve">371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CONSUMER DEBT JUDGMENTS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67</w:t>
            </w:r>
            <w:r>
              <w:t xml:space="preserve">  Nays </w:t>
              <w:t xml:space="preserve">27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Reeves, Walen, Jinkins, Appleton, Ryu, Morgan, Orwall, Ortiz-Self, Hudgins, and Ormsby)</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debt; and amending RCW 4.56.110, 6.01.060, 6.15.010, 6.27.100, 6.27.105, 6.27.140, and 6.27.150.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consumer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(C) For all consumer debt, two thousand dollars in value may consist of bank accounts, savings and loan accounts, stocks, bonds, or other securities. The maximum exemption under this subsection (1)(d)(ii)(C) may not exceed two thousand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consumer debt, the following statement shall appear conspicuously in the caption: "This garnishment is based on a judgment or order for consumer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w:t>
      </w:r>
      <w:r>
        <w:rPr/>
        <w:t xml:space="preserve">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u w:val="single"/>
        </w:rPr>
        <w:t xml:space="preserve">; and if this writ carries a statement in the heading of "This garnishment is based on a judgment or order for consumer debt," the basic exempt amount is the greater of eighty percent of disposable earnings or thirty-five times the state minimum hourly wage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 </w:t>
      </w:r>
      <w:r>
        <w:rPr>
          <w:u w:val="single"/>
        </w:rPr>
        <w:t xml:space="preserve">If the garnishment is for consumer debt, the exempt amount paid to you will be the greater of the following: A percent of your disposable earnings, which is eighty percent of the part of your earnings remaining after your employer deducts those amounts which are required by law to be withheld, or thirty-five times the state minimum hourly wage.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w:t>
      </w:r>
      <w:r>
        <w:rPr>
          <w:u w:val="single"/>
        </w:rPr>
        <w:t xml:space="preserve">; up to $2,000.00 in a bank account if you owe on consumer debts;</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$2,000 exemption for consumer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CONSUMER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consumer debt, the exemption language pertaining to consumer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w:t>
      </w:r>
      <w:r>
        <w:rPr>
          <w:u w:val="single"/>
        </w:rPr>
        <w:t xml:space="preserve">In the case of a garnishment based on a judgment or other order for the collection of consumer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Thirty-five times the state minimum hourly wage; or</w:t>
      </w:r>
    </w:p>
    <w:p>
      <w:pPr>
        <w:spacing w:before="0" w:after="0" w:line="408" w:lineRule="exact"/>
        <w:ind w:left="0" w:right="0" w:firstLine="576"/>
        <w:jc w:val="left"/>
      </w:pPr>
      <w:r>
        <w:rPr>
          <w:u w:val="single"/>
        </w:rPr>
        <w:t xml:space="preserve">(b) Eighty percent of the disposable earnings of the defendant.</w:t>
      </w:r>
    </w:p>
    <w:p>
      <w:pPr>
        <w:spacing w:before="0" w:after="0" w:line="408" w:lineRule="exact"/>
        <w:ind w:left="0" w:right="0" w:firstLine="576"/>
        <w:jc w:val="left"/>
      </w:pPr>
      <w:r>
        <w:rPr>
          <w:u w:val="single"/>
        </w:rPr>
        <w:t xml:space="preserve">(5)</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money due or earned as earnings as defined in RCW 6.27.010 shall be exempt from garnishment under the provisions of RCW 6.15.010, as now or hereafter amended.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d76fee5a13574e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b6815be5144a5" /><Relationship Type="http://schemas.openxmlformats.org/officeDocument/2006/relationships/footer" Target="/word/footer1.xml" Id="Rd76fee5a13574e93" /></Relationships>
</file>