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17e43d85c742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1934</w:t>
      </w:r>
    </w:p>
    <w:p>
      <w:pPr>
        <w:jc w:val="center"/>
        <w:spacing w:before="480" w:after="0" w:line="240"/>
      </w:pPr>
      <w:r>
        <w:t xml:space="preserve">Chapter </w:t>
      </w:r>
      <w:r>
        <w:rPr/>
        <w:t xml:space="preserve">135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CONCEALED PISTOL LICENSE RENEWAL--ARMED FORCES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Caldier, Kilduff, Mosbrucker, Irwin, Pollet, Chapman, Leavitt, and Van Werven</w:t>
      </w:r>
    </w:p>
    <w:p/>
    <w:p>
      <w:r>
        <w:rPr>
          <w:t xml:space="preserve">Read first time 02/06/19.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renewal of a concealed pistol license by members of the armed forces;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u w:val="single"/>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u w:val="single"/>
        </w:rPr>
        <w:t xml:space="preserve">(b) A person applying for a license renewal under this subsection shall:</w:t>
      </w:r>
    </w:p>
    <w:p>
      <w:pPr>
        <w:spacing w:before="0" w:after="0" w:line="408" w:lineRule="exact"/>
        <w:ind w:left="0" w:right="0" w:firstLine="576"/>
        <w:jc w:val="left"/>
      </w:pPr>
      <w:r>
        <w:rPr>
          <w:u w:val="single"/>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u w:val="single"/>
        </w:rPr>
        <w:t xml:space="preserve">(ii) Apply for renewal within ninety days before or after the expiration date of the license; and</w:t>
      </w:r>
    </w:p>
    <w:p>
      <w:pPr>
        <w:spacing w:before="0" w:after="0" w:line="408" w:lineRule="exact"/>
        <w:ind w:left="0" w:right="0" w:firstLine="576"/>
        <w:jc w:val="left"/>
      </w:pPr>
      <w:r>
        <w:rPr>
          <w:u w:val="single"/>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u w:val="single"/>
        </w:rPr>
        <w:t xml:space="preserve">(c) A license renewed under this subsection takes effect on the expiration date of the prior license and is valid for a period of one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c170f2570ca249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a8b5db4854b4e" /><Relationship Type="http://schemas.openxmlformats.org/officeDocument/2006/relationships/footer" Target="/word/footer1.xml" Id="Rc170f2570ca24933" /></Relationships>
</file>