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bc8f26f4d947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1980</w:t>
      </w:r>
    </w:p>
    <w:p>
      <w:pPr>
        <w:jc w:val="center"/>
        <w:spacing w:before="480" w:after="0" w:line="240"/>
      </w:pPr>
      <w:r>
        <w:t xml:space="preserve">Chapter </w:t>
      </w:r>
      <w:r>
        <w:rPr/>
        <w:t xml:space="preserve">136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FEDERAL TAX LIEN DOCUMENTS--RECORDING SURCHARGE EXEMPTION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1980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Macri and Ryu</w:t>
      </w:r>
    </w:p>
    <w:p/>
    <w:p>
      <w:r>
        <w:rPr>
          <w:t xml:space="preserve">Read first time 02/08/19.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federal tax lien documents from recording surcharges; and amending RCW 36.22.178, 36.22.179, and 36.22.1791.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2018 c 66 s 5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thirteen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 (a) The portion of the funds attributable to ten dollars of the surcharge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 and (b) the portion of the funds attributable to three dollars of the surcharge into the landlord mitigation program account created in RCW 43.31.615.</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 </w:t>
      </w:r>
      <w:r>
        <w:rPr>
          <w:u w:val="single"/>
        </w:rPr>
        <w:t xml:space="preserve">or to documents recording a federal lien or satisfaction of lien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2018 c 85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w:t>
      </w:r>
      <w:r>
        <w:rPr>
          <w:u w:val="single"/>
        </w:rPr>
        <w:t xml:space="preserve">federal,</w:t>
      </w:r>
      <w:r>
        <w:rPr/>
        <w:t xml:space="preserve"> state, county, or city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 </w:t>
      </w:r>
      <w:r>
        <w:rPr>
          <w:u w:val="single"/>
        </w:rPr>
        <w:t xml:space="preserve">or to documents recording a federal lien or satisfaction of lien</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59cf9b9963044f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b7ee8555bd454f" /><Relationship Type="http://schemas.openxmlformats.org/officeDocument/2006/relationships/footer" Target="/word/footer1.xml" Id="R59cf9b9963044fb3" /></Relationships>
</file>