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8dbf2d93cb40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2161</w:t>
      </w:r>
    </w:p>
    <w:p>
      <w:pPr>
        <w:jc w:val="center"/>
        <w:spacing w:before="480" w:after="0" w:line="240"/>
      </w:pPr>
      <w:r>
        <w:t xml:space="preserve">Chapter </w:t>
      </w:r>
      <w:r>
        <w:rPr/>
        <w:t xml:space="preserve">431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FERRY VESSEL PROCUREMENT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63</w:t>
            </w:r>
            <w:r>
              <w:t xml:space="preserve">  Nays </w:t>
              <w:t xml:space="preserve">35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31</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11:10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Transportation (originally sponsored by Representatives Fey and Fitzgibbon)</w:t>
      </w:r>
    </w:p>
    <w:p/>
    <w:p>
      <w:r>
        <w:rPr>
          <w:t xml:space="preserve">READ FIRST TIME 04/09/19.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ferry vessel procurement; amending RCW 47.60.810 and 47.60.315; and adding a new section to chapter 47.60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u w:val="single"/>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To increase small business participation in ferry vessel procurement, the Washington state department of transportation's office of equal opportunity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goal must submit evidence of good faith efforts to meet the contract goal to the small business enterprise enforceable goals program.</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Prime contractors will enter all subcontractor payments into the office's diversity management and compliance system. The office of equal opportunity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u w:val="single"/>
        </w:rPr>
        <w:t xml:space="preserve">(8) Except as provided in subsection (10) of this section, beginning May 1, 2020, the commission shall impose an additional vessel replacement surcharge in an amount sufficient to fund twenty-five year debt service on one 144-auto hybrid vessel taking into account funds provided in chapter . . . (HB 1789), Laws of 2019 or chapter . . . (SSB 5419), Laws of 2019. The department of transportation shall provide to the commission vessel and debt service cost estimates. Information on vessels constructed or purchased with revenue from the surcharges must be publicly posted including, but not limited to, the commission web site.</w:t>
      </w:r>
    </w:p>
    <w:p>
      <w:pPr>
        <w:spacing w:before="0" w:after="0" w:line="408" w:lineRule="exact"/>
        <w:ind w:left="0" w:right="0" w:firstLine="576"/>
        <w:jc w:val="left"/>
      </w:pPr>
      <w:r>
        <w:rPr>
          <w:u w:val="single"/>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u w:val="single"/>
        </w:rPr>
        <w:t xml:space="preserve">(10) The commission shall not impose the additional vessel replacement surcharge in subsection (8) of this section if doing so would increase fares by more than ten percent.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043481381a1447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1105cdcb614205" /><Relationship Type="http://schemas.openxmlformats.org/officeDocument/2006/relationships/footer" Target="/word/footer1.xml" Id="R043481381a144742" /></Relationships>
</file>