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9a95efcc3f4db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2205</w:t>
      </w:r>
    </w:p>
    <w:p>
      <w:pPr>
        <w:jc w:val="center"/>
        <w:spacing w:before="480" w:after="0" w:line="240"/>
      </w:pPr>
      <w:r>
        <w:t xml:space="preserve">Chapter </w:t>
      </w:r>
      <w:r>
        <w:rPr/>
        <w:t xml:space="preserve">18</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TECHNICAL CORRECTIONS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19, 2020</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2205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2020 10:21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18,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2205</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Civil Rights &amp; Judiciary (originally sponsored by Representatives Goodman, Dufault, and Appleton)</w:t>
      </w:r>
    </w:p>
    <w:p/>
    <w:p>
      <w:r>
        <w:rPr>
          <w:t xml:space="preserve">READ FIRST TIME 01/21/20.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technical corrections and removing obsolete language from the Revised Code of Washington pursuant to RCW 1.08.025; amending RCW 9.41.042, 9A.42.010, 13.40.0357, 13.40.160, 13.40.193, 13.40.265, 28A.400.210, 41.05.175, 43.09.025, 46.18.255, 46.18.265, 46.18.285, 46.18.290, 48.20.389, 48.21.223, 48.44.323, 48.46.274, 64.50.010, 69.50.414, 69.52.030, and 28B.76.540; reenacting and amending RCW 43.79A.040, 43.84.092, 10.77.088, and 70.105D.030;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1.08.025 directs the code reviser, with the approval of the statute law committee, to prepare legislation for submission to the legislature "concerning deficiencies, conflicts, or obsolete provisions" in statutes. This act makes technical, nonsubstantive amendments as follows:</w:t>
      </w:r>
    </w:p>
    <w:p>
      <w:pPr>
        <w:spacing w:before="0" w:after="0" w:line="408" w:lineRule="exact"/>
        <w:ind w:left="0" w:right="0" w:firstLine="576"/>
        <w:jc w:val="left"/>
      </w:pPr>
      <w:r>
        <w:rPr/>
        <w:t xml:space="preserve">(1) Sections 2 and 3 of this act correct the accounts and funds listed in the code sections providing for interest income by moving misplaced accounts and funds, removing repealed accounts and funds, and making account and fund names more uniform.</w:t>
      </w:r>
    </w:p>
    <w:p>
      <w:pPr>
        <w:spacing w:before="0" w:after="0" w:line="408" w:lineRule="exact"/>
        <w:ind w:left="0" w:right="0" w:firstLine="576"/>
        <w:jc w:val="left"/>
      </w:pPr>
      <w:r>
        <w:rPr/>
        <w:t xml:space="preserve">(2) Sections 4 and 5 of this act merge double amendments created when sections were amended in the 2019 legislative session without reference to the amendments made in the same session.</w:t>
      </w:r>
    </w:p>
    <w:p>
      <w:pPr>
        <w:spacing w:before="0" w:after="0" w:line="408" w:lineRule="exact"/>
        <w:ind w:left="0" w:right="0" w:firstLine="576"/>
        <w:jc w:val="left"/>
      </w:pPr>
      <w:r>
        <w:rPr/>
        <w:t xml:space="preserve">(3) Sections 6 through 25 of this act amend sections to reflect changes in subsection numbering of cross-referenced material.</w:t>
      </w:r>
    </w:p>
    <w:p>
      <w:pPr>
        <w:spacing w:before="0" w:after="0" w:line="408" w:lineRule="exact"/>
        <w:ind w:left="0" w:right="0" w:firstLine="576"/>
        <w:jc w:val="left"/>
      </w:pPr>
      <w:r>
        <w:rPr/>
        <w:t xml:space="preserve">(4) Section 26 of this act updates a reference to a chapter that was renamed as a result of chapter 295, Laws of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2019 c 448 s 10, 2019 c 363 s 21, 2019 c 295 s 225, 2019 c 282 s 7, 2019 c 266 s 26, and 2019 c 157 s 4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w:t>
      </w:r>
      <w:r>
        <w:t>((</w:t>
      </w:r>
      <w:r>
        <w:rPr>
          <w:strike/>
        </w:rPr>
        <w:t xml:space="preserve">the pilotage account,</w:t>
      </w:r>
      <w:r>
        <w:t>))</w:t>
      </w:r>
      <w:r>
        <w:rPr/>
        <w:t xml:space="preserve">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w:t>
      </w:r>
      <w:r>
        <w:rPr>
          <w:u w:val="single"/>
        </w:rPr>
        <w:t xml:space="preserve">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w:t>
      </w:r>
      <w:r>
        <w:rPr/>
        <w:t xml:space="preserve"> and the library operations account.</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w:t>
      </w:r>
      <w:r>
        <w:t>((</w:t>
      </w:r>
      <w:r>
        <w:rPr>
          <w:strike/>
        </w:rPr>
        <w:t xml:space="preserve">advanced</w:t>
      </w:r>
      <w:r>
        <w:t>))</w:t>
      </w:r>
      <w:r>
        <w:rPr/>
        <w:t xml:space="preserve"> </w:t>
      </w:r>
      <w:r>
        <w:rPr>
          <w:u w:val="single"/>
        </w:rPr>
        <w:t xml:space="preserve">advance</w:t>
      </w:r>
      <w:r>
        <w:rPr/>
        <w:t xml:space="preserv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2019 c 421 s 15, 2019 c 403 s 14, 2019 c 365 s 19, 2019 c 287 s 19, and 2019 c 95 s 6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w:t>
      </w:r>
      <w:r>
        <w:t>((</w:t>
      </w:r>
      <w:r>
        <w:rPr>
          <w:strike/>
        </w:rPr>
        <w:t xml:space="preserve">the aircraft search and rescue account,</w:t>
      </w:r>
      <w:r>
        <w:t>))</w:t>
      </w:r>
      <w:r>
        <w:rPr/>
        <w:t xml:space="preserve"> the Alaskan Way viaduct replacement project account, the brownfield redevelopment trust fund account, the budget stabilization account, the capital vessel replacement account, the capitol building construction account, </w:t>
      </w:r>
      <w:r>
        <w:t>((</w:t>
      </w:r>
      <w:r>
        <w:rPr>
          <w:strike/>
        </w:rPr>
        <w:t xml:space="preserve">the Cedar River channel construction and operation account,</w:t>
      </w:r>
      <w:r>
        <w:t>))</w:t>
      </w:r>
      <w:r>
        <w:rPr/>
        <w:t xml:space="preserve">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w:t>
      </w:r>
      <w:r>
        <w:t>((</w:t>
      </w:r>
      <w:r>
        <w:rPr>
          <w:strike/>
        </w:rPr>
        <w:t xml:space="preserve">the department of licensing tuition recovery trust fund,</w:t>
      </w:r>
      <w:r>
        <w:t>))</w:t>
      </w:r>
      <w:r>
        <w:rPr/>
        <w:t xml:space="preserve"> the department of retirement systems expense account, the developmental disabilities community trust account, the diesel idle reduction account, the drinking water assistance account, the </w:t>
      </w:r>
      <w:r>
        <w:rPr>
          <w:u w:val="single"/>
        </w:rPr>
        <w:t xml:space="preserve">administrative subaccount of the</w:t>
      </w:r>
      <w:r>
        <w:rPr/>
        <w:t xml:space="preserve"> drinking water assistance </w:t>
      </w:r>
      <w:r>
        <w:t>((</w:t>
      </w:r>
      <w:r>
        <w:rPr>
          <w:strike/>
        </w:rPr>
        <w:t xml:space="preserve">administrative</w:t>
      </w:r>
      <w:r>
        <w:t>))</w:t>
      </w:r>
      <w:r>
        <w:rPr/>
        <w:t xml:space="preserv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w:t>
      </w:r>
      <w:r>
        <w:t>((</w:t>
      </w:r>
      <w:r>
        <w:rPr>
          <w:strike/>
        </w:rPr>
        <w:t xml:space="preserve">the federal forest revolving account,</w:t>
      </w:r>
      <w:r>
        <w:t>))</w:t>
      </w:r>
      <w:r>
        <w:rPr/>
        <w:t xml:space="preserve"> the ferry bond retirement fund, the freight mobility investment account, the freight mobility multimodal account, the grade crossing protective fund, the public health services account, the state higher education construction account, the higher education construction account, the highway bond retirement fund, the highway infrastructure account, the highway safety fund, the hospital safety net assessment fund, </w:t>
      </w:r>
      <w:r>
        <w:t>((</w:t>
      </w:r>
      <w:r>
        <w:rPr>
          <w:strike/>
        </w:rPr>
        <w:t xml:space="preserve">the industrial insurance premium refund account,</w:t>
      </w:r>
      <w:r>
        <w:t>))</w:t>
      </w:r>
      <w:r>
        <w:rPr/>
        <w:t xml:space="preserve"> the Interstate 405 and state route number 167 express toll lanes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w:t>
      </w:r>
      <w:r>
        <w:t>((</w:t>
      </w:r>
      <w:r>
        <w:rPr>
          <w:strike/>
        </w:rPr>
        <w:t xml:space="preserve">the mobile home park relocation fund,</w:t>
      </w:r>
      <w:r>
        <w:t>))</w:t>
      </w:r>
      <w:r>
        <w:rPr/>
        <w:t xml:space="preserve">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w:t>
      </w:r>
      <w:r>
        <w:t>((</w:t>
      </w:r>
      <w:r>
        <w:rPr>
          <w:strike/>
        </w:rPr>
        <w:t xml:space="preserve">the natural resources deposit account,</w:t>
      </w:r>
      <w:r>
        <w:t>))</w:t>
      </w:r>
      <w:r>
        <w:rPr/>
        <w:t xml:space="preserve"> the oyster reserve land account, the pension funding stabilization account, the perpetual surveillance and maintenance account, </w:t>
      </w:r>
      <w:r>
        <w:rPr>
          <w:u w:val="single"/>
        </w:rPr>
        <w:t xml:space="preserve">the pilotage account,</w:t>
      </w:r>
      <w:r>
        <w:rPr/>
        <w:t xml:space="preserve"> the pollution liability insurance agency underground storage tank revolving account, the public employees' retirement system plan 1 account, the public employees' retirement system combined plan 2 and plan 3 account, the public facilities construction loan revolving account </w:t>
      </w:r>
      <w:r>
        <w:t>((</w:t>
      </w:r>
      <w:r>
        <w:rPr>
          <w:strike/>
        </w:rPr>
        <w:t xml:space="preserve">beginning July 1, 2004</w:t>
      </w:r>
      <w:r>
        <w:t>))</w:t>
      </w:r>
      <w:r>
        <w:rPr/>
        <w:t xml:space="preserve">,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w:t>
      </w:r>
      <w:r>
        <w:t>((</w:t>
      </w:r>
      <w:r>
        <w:rPr>
          <w:strike/>
        </w:rPr>
        <w:t xml:space="preserve">the state employees' insurance account, the state employees' insurance reserve account,</w:t>
      </w:r>
      <w:r>
        <w:t>))</w:t>
      </w:r>
      <w:r>
        <w:rPr/>
        <w:t xml:space="preserve"> the state investment board expense account, the state investment board commingled trust fund accounts, the state patrol highway account, </w:t>
      </w:r>
      <w:r>
        <w:rPr>
          <w:u w:val="single"/>
        </w:rPr>
        <w:t xml:space="preserve">the state reclamation revolving account,</w:t>
      </w:r>
      <w:r>
        <w:rPr/>
        <w:t xml:space="preserve"> the state route number 520 civil penalties account, the state route number 520 corridor account, the state wildlife account, the statewide broadband account, the statewide tourism marketing account, </w:t>
      </w:r>
      <w:r>
        <w:t>((</w:t>
      </w:r>
      <w:r>
        <w:rPr>
          <w:strike/>
        </w:rPr>
        <w:t xml:space="preserve">the student achievement council tuition recovery trust fund,</w:t>
      </w:r>
      <w:r>
        <w:t>))</w:t>
      </w:r>
      <w:r>
        <w:rPr/>
        <w:t xml:space="preserve">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w:t>
      </w:r>
      <w:r>
        <w:t>((</w:t>
      </w:r>
      <w:r>
        <w:rPr>
          <w:strike/>
        </w:rPr>
        <w:t xml:space="preserve">the tuition recovery trust fund,</w:t>
      </w:r>
      <w:r>
        <w:t>))</w:t>
      </w:r>
      <w:r>
        <w:rPr/>
        <w:t xml:space="preserve">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w:t>
      </w:r>
      <w:r>
        <w:t>((</w:t>
      </w:r>
      <w:r>
        <w:rPr>
          <w:strike/>
        </w:rPr>
        <w:t xml:space="preserve">the Washington state health insurance pool account,</w:t>
      </w:r>
      <w:r>
        <w:t>))</w:t>
      </w:r>
      <w:r>
        <w:rPr/>
        <w:t xml:space="preserve">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w:t>
      </w:r>
      <w:r>
        <w:rPr>
          <w:u w:val="single"/>
        </w:rPr>
        <w:t xml:space="preserve">and</w:t>
      </w:r>
      <w:r>
        <w:rPr/>
        <w:t xml:space="preserve"> the state university permanent fund</w:t>
      </w:r>
      <w:r>
        <w:t>((</w:t>
      </w:r>
      <w:r>
        <w:rPr>
          <w:strike/>
        </w:rPr>
        <w:t xml:space="preserve">, and the state reclamation revolving account</w:t>
      </w:r>
      <w:r>
        <w:t>))</w:t>
      </w:r>
      <w:r>
        <w:rPr/>
        <w:t xml:space="preserve">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2019 c 326 s 5 and 2019 c 248 s 1 are each reenacted and amended to read as follows:</w:t>
      </w:r>
    </w:p>
    <w:p>
      <w:pPr>
        <w:spacing w:before="0" w:after="0" w:line="408" w:lineRule="exact"/>
        <w:ind w:left="0" w:right="0" w:firstLine="576"/>
        <w:jc w:val="left"/>
      </w:pPr>
      <w:r>
        <w:rPr/>
        <w:t xml:space="preserve">(1) If the defendant is charged with a nonfelony crime which is a serious offense as identified in RCW 10.77.092 and found by the court to be not competent, then the court:</w:t>
      </w:r>
    </w:p>
    <w:p>
      <w:pPr>
        <w:spacing w:before="0" w:after="0" w:line="408" w:lineRule="exact"/>
        <w:ind w:left="0" w:right="0" w:firstLine="576"/>
        <w:jc w:val="left"/>
      </w:pPr>
      <w:r>
        <w:rPr/>
        <w:t xml:space="preserve">(a) Shall dismiss the proceedings without prejudice and detain the defendant for sufficient time to allow the designated crisis responder to evaluate the defendant and consider initial detention proceedings under chapter 71.05 RCW, unless the prosecutor objects to the dismissal and provides notice of a motion for an order for competency restoration, in which case the court shall schedule a hearing within seven days to determine whether to enter an order of competency restoration.</w:t>
      </w:r>
    </w:p>
    <w:p>
      <w:pPr>
        <w:spacing w:before="0" w:after="0" w:line="408" w:lineRule="exact"/>
        <w:ind w:left="0" w:right="0" w:firstLine="576"/>
        <w:jc w:val="left"/>
      </w:pPr>
      <w:r>
        <w:rPr/>
        <w:t xml:space="preserve">(b) At the hearing, the prosecuting attorney must establish that there is a compelling state interest to order competency restoration treatment for the defendant. The court may consider prior criminal history, prior history in treatment, prior history of violence, the quality and severity of the pending charges, any history that suggests whether or not competency restoration treatment is likely to be successful, in addition to the factors listed under RCW 10.77.092. If the prosecuting attorney proves by a preponderance of the evidence that there is a compelling state interest in ordering competency restoration, then the court shall order competency restoration in accordance with subsection (2)(a) of this section.</w:t>
      </w:r>
    </w:p>
    <w:p>
      <w:pPr>
        <w:spacing w:before="0" w:after="0" w:line="408" w:lineRule="exact"/>
        <w:ind w:left="0" w:right="0" w:firstLine="576"/>
        <w:jc w:val="left"/>
      </w:pPr>
      <w:r>
        <w:rPr/>
        <w:t xml:space="preserve">(2)(a) If a court finds pursuant to subsection (1)(b) of this section that there is a compelling state interest in pursuing competency restoration treatment, then the court shall commit the defendant to the custody of the secretary for competency restoration. Based on a recommendation from a forensic navigator and input from the parties, the court may order the defendant to receive inpatient competency restoration or outpatient competency restoration.</w:t>
      </w:r>
    </w:p>
    <w:p>
      <w:pPr>
        <w:spacing w:before="0" w:after="0" w:line="408" w:lineRule="exact"/>
        <w:ind w:left="0" w:right="0" w:firstLine="576"/>
        <w:jc w:val="left"/>
      </w:pPr>
      <w:r>
        <w:rPr/>
        <w:t xml:space="preserve">(i) To be eligible for an order for outpatient competency restoration, a defendant must be clinically appropriate and be willing to:</w:t>
      </w:r>
    </w:p>
    <w:p>
      <w:pPr>
        <w:spacing w:before="0" w:after="0" w:line="408" w:lineRule="exact"/>
        <w:ind w:left="0" w:right="0" w:firstLine="576"/>
        <w:jc w:val="left"/>
      </w:pPr>
      <w:r>
        <w:rPr/>
        <w:t xml:space="preserve">(A) Adhere to medications or receive prescribed intramuscular medication; and</w:t>
      </w:r>
    </w:p>
    <w:p>
      <w:pPr>
        <w:spacing w:before="0" w:after="0" w:line="408" w:lineRule="exact"/>
        <w:ind w:left="0" w:right="0" w:firstLine="576"/>
        <w:jc w:val="left"/>
      </w:pPr>
      <w:r>
        <w:rPr/>
        <w:t xml:space="preserve">(B) Abstain from alcohol and unprescribed drugs.</w:t>
      </w:r>
    </w:p>
    <w:p>
      <w:pPr>
        <w:spacing w:before="0" w:after="0" w:line="408" w:lineRule="exact"/>
        <w:ind w:left="0" w:right="0" w:firstLine="576"/>
        <w:jc w:val="left"/>
      </w:pPr>
      <w:r>
        <w:rPr/>
        <w:t xml:space="preserve">(ii) If the court orders inpatient competency restoration, the department shall place the defendant in an appropriate facility of the department for competency restoration under (b) of this subsection.</w:t>
      </w:r>
    </w:p>
    <w:p>
      <w:pPr>
        <w:spacing w:before="0" w:after="0" w:line="408" w:lineRule="exact"/>
        <w:ind w:left="0" w:right="0" w:firstLine="576"/>
        <w:jc w:val="left"/>
      </w:pPr>
      <w:r>
        <w:rPr/>
        <w:t xml:space="preserve">(iii)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and regular urinalysis testing for defendants who have a current substance use disorder diagnosis.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t xml:space="preserve">(iv) If a defendant fails to comply with the restrictions of the outpatient competency restoration program such that restoration is no longer appropriate in that setting or the defendant is no longer clinically appropriate for outpatient competency restoration, the department shall remove the defendant from the outpatient restoration program. The department shall place the defendant instead in an appropriate facility of the department for inpatient competency restoration for no longer than twenty-nine days regardless of any time spent in outpatient competency restoration, in addition to reasonable time for transport to or from the facility. The department shall notify the court and parties of the change in placement before the close of the next judicial day. The court shall schedule a hearing within five days to review the placement and conditions of release of the defendant and issue appropriate orders. The standard of proof shall be a preponderance of the evidence, and the court may in its discretion render its decision based on written submissions, live testimony, or remote testimony.</w:t>
      </w:r>
    </w:p>
    <w:p>
      <w:pPr>
        <w:spacing w:before="0" w:after="0" w:line="408" w:lineRule="exact"/>
        <w:ind w:left="0" w:right="0" w:firstLine="576"/>
        <w:jc w:val="left"/>
      </w:pPr>
      <w:r>
        <w:rPr/>
        <w:t xml:space="preserve">(v) The court may not issue an order for outpatient competency restoration unless the department certifies that there is an available appropriate outpatient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t xml:space="preserve">(b) The placement under (a) of this subsection shall not exceed twenty-nine days if the defendant is ordered to receive inpatient competency restoration, or shall not exceed ninety days if the defendant is ordered to receive outpatient competency restoration. The court may order any combination of this subsection, not to exceed ninety days. This period must be considered to include only the time the defendant is actually at the facility and shall be in addition to reasonable time for transport to or from the facility.</w:t>
      </w:r>
    </w:p>
    <w:p>
      <w:pPr>
        <w:spacing w:before="0" w:after="0" w:line="408" w:lineRule="exact"/>
        <w:ind w:left="0" w:right="0" w:firstLine="576"/>
        <w:jc w:val="left"/>
      </w:pPr>
      <w:r>
        <w:rPr/>
        <w:t xml:space="preserve">(c) If the court has determined or the parties agree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(d) of this subsection.</w:t>
      </w:r>
    </w:p>
    <w:p>
      <w:pPr>
        <w:spacing w:before="0" w:after="0" w:line="408" w:lineRule="exact"/>
        <w:ind w:left="0" w:right="0" w:firstLine="576"/>
        <w:jc w:val="left"/>
      </w:pPr>
      <w:r>
        <w:rPr/>
        <w:t xml:space="preserve">(d)(i) If the proceedings are dismissed under RCW 10.77.084 and the defendant was on conditional release at the time of dismissal, the court shall order the designated crisis responder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(ii) If the defendant was in custody and not on conditional release at the time of dismissal, the defendant shall be detained and sent to an evaluation and treatment facility for up to seventy-two hours, excluding Saturdays, Sundays, and holidays, for evaluation for purposes of filing a petition under chapter 71.05 RCW. The seventy-two hour period shall commence upon the next nonholiday weekday following the court order and shall run to the end of the last nonholiday weekday within the seventy-two-hour period.</w:t>
      </w:r>
    </w:p>
    <w:p>
      <w:pPr>
        <w:spacing w:before="0" w:after="0" w:line="408" w:lineRule="exact"/>
        <w:ind w:left="0" w:right="0" w:firstLine="576"/>
        <w:jc w:val="left"/>
      </w:pPr>
      <w:r>
        <w:rPr/>
        <w:t xml:space="preserve">(3) If the defendant is charged with a nonfelony crime that is not a serious offense as defined in RCW 10.77.092 and found by the court to be not competent, the court may stay or dismiss proceedings and detain the defendant for sufficient time to allow the designated crisis responder to evaluate the defendant and consider initial detention proceedings under chapter 71.05 RCW. The court must give notice to all parties at least twenty-four hours before the dismissal of any proceeding under this subsection, and provide an opportunity for a hearing on whether to dismiss the proceedings.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at any time the court dismisses charges under subsection</w:t>
      </w:r>
      <w:r>
        <w:rPr>
          <w:u w:val="single"/>
        </w:rPr>
        <w:t xml:space="preserve">s</w:t>
      </w:r>
      <w:r>
        <w:rPr/>
        <w:t xml:space="preserve"> (1) </w:t>
      </w:r>
      <w:r>
        <w:t>((</w:t>
      </w:r>
      <w:r>
        <w:rPr>
          <w:strike/>
        </w:rPr>
        <w:t xml:space="preserve">or (2)</w:t>
      </w:r>
      <w:r>
        <w:t>))</w:t>
      </w:r>
      <w:r>
        <w:rPr/>
        <w:t xml:space="preserve"> </w:t>
      </w:r>
      <w:r>
        <w:rPr>
          <w:u w:val="single"/>
        </w:rPr>
        <w:t xml:space="preserve">through (3)</w:t>
      </w:r>
      <w:r>
        <w:rPr/>
        <w:t xml:space="preserve"> of this section, the court shall make a finding as to whether the defendant has a history of one or more violent acts. If the court so finds, the defendant is barred from the possession of firearms until a court restores his or her right to possess a firearm under RCW 9.41.047. The court shall state to the defendant and provide written notice that the defendant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030</w:t>
      </w:r>
      <w:r>
        <w:rPr/>
        <w:t xml:space="preserve"> and 2019 c 422 s 401 and 2019 c 95 s 3 are each reenacted and amended to read as follows:</w:t>
      </w:r>
    </w:p>
    <w:p>
      <w:pPr>
        <w:spacing w:before="0" w:after="0" w:line="408" w:lineRule="exact"/>
        <w:ind w:left="0" w:right="0" w:firstLine="576"/>
        <w:jc w:val="left"/>
      </w:pPr>
      <w:r>
        <w:rPr/>
        <w:t xml:space="preserve">(1) The department may exercise the following powers in addition to any other powers granted by law:</w:t>
      </w:r>
    </w:p>
    <w:p>
      <w:pPr>
        <w:spacing w:before="0" w:after="0" w:line="408" w:lineRule="exact"/>
        <w:ind w:left="0" w:right="0" w:firstLine="576"/>
        <w:jc w:val="left"/>
      </w:pPr>
      <w:r>
        <w:rPr/>
        <w:t xml:space="preserve">(a) Investigate, provide for investigating, or require potentially liable persons to investigate any releases or threatened releases of hazardous substances, including but not limited to inspecting, sampling, or testing to determine the nature or extent of any release or threatened release. If there is a reasonable basis to believe that a release or threatened release of a hazardous substance may exist, the department's authorized employees, agents, or contractors may enter upon any property and conduct investigations. The department shall give reasonable notice before entering property unless an emergency prevents such notice. The department may by subpoena require the attendance or testimony of witnesses and the production of documents or other information that the department deems necessary;</w:t>
      </w:r>
    </w:p>
    <w:p>
      <w:pPr>
        <w:spacing w:before="0" w:after="0" w:line="408" w:lineRule="exact"/>
        <w:ind w:left="0" w:right="0" w:firstLine="576"/>
        <w:jc w:val="left"/>
      </w:pPr>
      <w:r>
        <w:rPr/>
        <w:t xml:space="preserve">(b) Conduct, provide for conducting, or require potentially liable persons to conduct remedial actions (including investigations under (a) of this subsection) to remedy releases or threatened releases of hazardous substances. In carrying out such powers, the department's authorized employees, agents, or contractors may enter upon property. The department must give reasonable notice before entering property unless an emergency prevents such notice. In conducting, providing for, or requiring remedial action, the department must give preference to permanent solutions to the maximum extent practicable and must provide for or require adequate monitoring to ensure the effectiveness of the remedial action;</w:t>
      </w:r>
    </w:p>
    <w:p>
      <w:pPr>
        <w:spacing w:before="0" w:after="0" w:line="408" w:lineRule="exact"/>
        <w:ind w:left="0" w:right="0" w:firstLine="576"/>
        <w:jc w:val="left"/>
      </w:pPr>
      <w:r>
        <w:rPr/>
        <w:t xml:space="preserve">(c) Indemnify contractors retained by the department for carrying out investigations and remedial actions, but not for any contractor's reckless or willful misconduct;</w:t>
      </w:r>
    </w:p>
    <w:p>
      <w:pPr>
        <w:spacing w:before="0" w:after="0" w:line="408" w:lineRule="exact"/>
        <w:ind w:left="0" w:right="0" w:firstLine="576"/>
        <w:jc w:val="left"/>
      </w:pPr>
      <w:r>
        <w:rPr/>
        <w:t xml:space="preserve">(d) Carry out all state programs authorized under the federal cleanup law and the federal resource, conservation, and recovery act, 42 U.S.C. Sec. 6901 et seq., as amended;</w:t>
      </w:r>
    </w:p>
    <w:p>
      <w:pPr>
        <w:spacing w:before="0" w:after="0" w:line="408" w:lineRule="exact"/>
        <w:ind w:left="0" w:right="0" w:firstLine="576"/>
        <w:jc w:val="left"/>
      </w:pPr>
      <w:r>
        <w:rPr/>
        <w:t xml:space="preserve">(e) Classify substances as hazardous substances for purposes of RCW 70.105D.020 and classify substances and products as hazardous substances for purposes of RCW 82.21.020(1);</w:t>
      </w:r>
    </w:p>
    <w:p>
      <w:pPr>
        <w:spacing w:before="0" w:after="0" w:line="408" w:lineRule="exact"/>
        <w:ind w:left="0" w:right="0" w:firstLine="576"/>
        <w:jc w:val="left"/>
      </w:pPr>
      <w:r>
        <w:rPr/>
        <w:t xml:space="preserve">(f) Issue orders or enter into consent decrees or agreed orders that include, or issue written opinions under RCW 70.105D.180 that may be conditioned upon, environmental covenants where necessary to protect human health and the environment from a release or threatened release of a hazardous substance from a facility. Prior to establishing an environmental covenant under this subsection, the department must consult with and seek comment from a city or county department with land use planning authority for real property subject to the environmental covenant;</w:t>
      </w:r>
    </w:p>
    <w:p>
      <w:pPr>
        <w:spacing w:before="0" w:after="0" w:line="408" w:lineRule="exact"/>
        <w:ind w:left="0" w:right="0" w:firstLine="576"/>
        <w:jc w:val="left"/>
      </w:pPr>
      <w:r>
        <w:rPr/>
        <w:t xml:space="preserve">(g) Enforce the application of permanent and effective institutional controls that are necessary for a remedial action to be protective of human health and the environment and the notification requirements established in RCW 70.105D.110, and impose penalties for violations of that section consistent with RCW 70.105D.050;</w:t>
      </w:r>
    </w:p>
    <w:p>
      <w:pPr>
        <w:spacing w:before="0" w:after="0" w:line="408" w:lineRule="exact"/>
        <w:ind w:left="0" w:right="0" w:firstLine="576"/>
        <w:jc w:val="left"/>
      </w:pPr>
      <w:r>
        <w:rPr/>
        <w:t xml:space="preserve">(h) Require holders to conduct remedial actions necessary to abate an imminent or substantial endangerment pursuant to RCW 70.105D.020(22)(b)(ii)(C);</w:t>
      </w:r>
    </w:p>
    <w:p>
      <w:pPr>
        <w:spacing w:before="0" w:after="0" w:line="408" w:lineRule="exact"/>
        <w:ind w:left="0" w:right="0" w:firstLine="576"/>
        <w:jc w:val="left"/>
      </w:pPr>
      <w:r>
        <w:rPr/>
        <w:t xml:space="preserve">(i) In fulfilling the objectives of this chapter, the department must allocate staffing and financial assistance in a manner that considers both the reduction of human and environmental risks and the land reuse potential and planning for the facilities to be cleaned up. This does not preclude the department from allocating resources to a facility based solely on human or environmental risks;</w:t>
      </w:r>
    </w:p>
    <w:p>
      <w:pPr>
        <w:spacing w:before="0" w:after="0" w:line="408" w:lineRule="exact"/>
        <w:ind w:left="0" w:right="0" w:firstLine="576"/>
        <w:jc w:val="left"/>
      </w:pPr>
      <w:r>
        <w:rPr/>
        <w:t xml:space="preserve">(j) Establish model remedies for common categories of facilities, types of hazardous substances, types of media, or geographic areas to streamline and accelerate the selection of remedies for routine types of cleanups at facilities;</w:t>
      </w:r>
    </w:p>
    <w:p>
      <w:pPr>
        <w:spacing w:before="0" w:after="0" w:line="408" w:lineRule="exact"/>
        <w:ind w:left="0" w:right="0" w:firstLine="576"/>
        <w:jc w:val="left"/>
      </w:pPr>
      <w:r>
        <w:rPr/>
        <w:t xml:space="preserve">(i) When establishing a model remedy, the department must:</w:t>
      </w:r>
    </w:p>
    <w:p>
      <w:pPr>
        <w:spacing w:before="0" w:after="0" w:line="408" w:lineRule="exact"/>
        <w:ind w:left="0" w:right="0" w:firstLine="576"/>
        <w:jc w:val="left"/>
      </w:pPr>
      <w:r>
        <w:rPr/>
        <w:t xml:space="preserve">(A) Identify the requirements for characterizing a facility to select a model remedy, the applicability of the model remedy for use at a facility, and monitoring requirements;</w:t>
      </w:r>
    </w:p>
    <w:p>
      <w:pPr>
        <w:spacing w:before="0" w:after="0" w:line="408" w:lineRule="exact"/>
        <w:ind w:left="0" w:right="0" w:firstLine="576"/>
        <w:jc w:val="left"/>
      </w:pPr>
      <w:r>
        <w:rPr/>
        <w:t xml:space="preserve">(B) Describe how the model remedy meets clean-up standards and the requirements for selecting a remedy established by the department under this chapter; and</w:t>
      </w:r>
    </w:p>
    <w:p>
      <w:pPr>
        <w:spacing w:before="0" w:after="0" w:line="408" w:lineRule="exact"/>
        <w:ind w:left="0" w:right="0" w:firstLine="576"/>
        <w:jc w:val="left"/>
      </w:pPr>
      <w:r>
        <w:rPr/>
        <w:t xml:space="preserve">(C) Provide public notice and an opportunity to comment on the proposed model remedy and the conditions under which it may be used at a facility;</w:t>
      </w:r>
    </w:p>
    <w:p>
      <w:pPr>
        <w:spacing w:before="0" w:after="0" w:line="408" w:lineRule="exact"/>
        <w:ind w:left="0" w:right="0" w:firstLine="576"/>
        <w:jc w:val="left"/>
      </w:pPr>
      <w:r>
        <w:rPr/>
        <w:t xml:space="preserve">(ii) When developing model remedies, the department must solicit and consider proposals from qualified persons. The proposals must, in addition to describing the model remedy, provide the information required under (j)(i)(A) and (B) of this subsection;</w:t>
      </w:r>
    </w:p>
    <w:p>
      <w:pPr>
        <w:spacing w:before="0" w:after="0" w:line="408" w:lineRule="exact"/>
        <w:ind w:left="0" w:right="0" w:firstLine="576"/>
        <w:jc w:val="left"/>
      </w:pPr>
      <w:r>
        <w:rPr/>
        <w:t xml:space="preserve">(iii) If a facility meets the requirements for use of a model remedy, an analysis of the feasibility of alternative remedies is not required under this chapter. For department-conducted and department-supervised remedial actions, the department must provide public notice and consider public comments on the proposed use of a model remedy at a facility; and</w:t>
      </w:r>
    </w:p>
    <w:p>
      <w:pPr>
        <w:spacing w:before="0" w:after="0" w:line="408" w:lineRule="exact"/>
        <w:ind w:left="0" w:right="0" w:firstLine="576"/>
        <w:jc w:val="left"/>
      </w:pPr>
      <w:r>
        <w:rPr/>
        <w:t xml:space="preserve">(k) Take any other actions necessary to carry out the provisions of this chapter, including the power to adopt rules under chapter 34.05 RCW.</w:t>
      </w:r>
    </w:p>
    <w:p>
      <w:pPr>
        <w:spacing w:before="0" w:after="0" w:line="408" w:lineRule="exact"/>
        <w:ind w:left="0" w:right="0" w:firstLine="576"/>
        <w:jc w:val="left"/>
      </w:pPr>
      <w:r>
        <w:rPr/>
        <w:t xml:space="preserve">(2) The department must immediately implement all provisions of this chapter to the maximum extent practicable, including investigative and remedial actions where appropriate. The department must adopt, and thereafter enforce, rules under chapter 34.05 RCW to:</w:t>
      </w:r>
    </w:p>
    <w:p>
      <w:pPr>
        <w:spacing w:before="0" w:after="0" w:line="408" w:lineRule="exact"/>
        <w:ind w:left="0" w:right="0" w:firstLine="576"/>
        <w:jc w:val="left"/>
      </w:pPr>
      <w:r>
        <w:rPr/>
        <w:t xml:space="preserve">(a) Provide for public participation, including at least (i) public notice of the development of investigative plans or remedial plans for releases or threatened releases and (ii) concurrent public notice of all compliance orders, agreed orders, enforcement orders, or notices of violation;</w:t>
      </w:r>
    </w:p>
    <w:p>
      <w:pPr>
        <w:spacing w:before="0" w:after="0" w:line="408" w:lineRule="exact"/>
        <w:ind w:left="0" w:right="0" w:firstLine="576"/>
        <w:jc w:val="left"/>
      </w:pPr>
      <w:r>
        <w:rPr/>
        <w:t xml:space="preserve">(b) Establish a hazard ranking system for hazardous waste sites;</w:t>
      </w:r>
    </w:p>
    <w:p>
      <w:pPr>
        <w:spacing w:before="0" w:after="0" w:line="408" w:lineRule="exact"/>
        <w:ind w:left="0" w:right="0" w:firstLine="576"/>
        <w:jc w:val="left"/>
      </w:pPr>
      <w:r>
        <w:rPr/>
        <w:t xml:space="preserve">(c) Provide for requiring the reporting by an owner or operator of releases of hazardous substances to the environment that may be a threat to human health or the environment within ninety days of discovery, including such exemptions from reporting as the department deems appropriate, however this requirement may not modify any existing requirements provided for under other laws;</w:t>
      </w:r>
    </w:p>
    <w:p>
      <w:pPr>
        <w:spacing w:before="0" w:after="0" w:line="408" w:lineRule="exact"/>
        <w:ind w:left="0" w:right="0" w:firstLine="576"/>
        <w:jc w:val="left"/>
      </w:pPr>
      <w:r>
        <w:rPr/>
        <w:t xml:space="preserve">(d) Establish reasonable deadlines not to exceed ninety days for initiating an investigation of a hazardous waste site after the department receives notice or otherwise receives information that the site may pose a threat to human health or the environment and other reasonable deadlines for remedying releases or threatened releases at the site;</w:t>
      </w:r>
    </w:p>
    <w:p>
      <w:pPr>
        <w:spacing w:before="0" w:after="0" w:line="408" w:lineRule="exact"/>
        <w:ind w:left="0" w:right="0" w:firstLine="576"/>
        <w:jc w:val="left"/>
      </w:pPr>
      <w:r>
        <w:rPr/>
        <w:t xml:space="preserve">(e) Publish and periodically update minimum clean-up standards for remedial actions at least as stringent as the clean-up standards under section 121 of the federal cleanup law, 42 U.S.C. Sec. 9621, and at least as stringent as all applicable state and federal laws, including health-based standards under state and federal law; and</w:t>
      </w:r>
    </w:p>
    <w:p>
      <w:pPr>
        <w:spacing w:before="0" w:after="0" w:line="408" w:lineRule="exact"/>
        <w:ind w:left="0" w:right="0" w:firstLine="576"/>
        <w:jc w:val="left"/>
      </w:pPr>
      <w:r>
        <w:rPr/>
        <w:t xml:space="preserve">(f) Apply industrial clean-up standards at industrial properties. Rules adopted under this subsection must ensure that industrial properties cleaned up to industrial standards cannot be converted to nonindustrial uses without approval from the department. The department may require that a property cleaned up to industrial standards is cleaned up to a more stringent applicable standard as a condition of conversion to a nonindustrial use. Industrial clean-up standards may not be applied to industrial properties where hazardous substances remaining at the property after remedial action pose a threat to human health or the environment in adjacent nonindustrial areas.</w:t>
      </w:r>
    </w:p>
    <w:p>
      <w:pPr>
        <w:spacing w:before="0" w:after="0" w:line="408" w:lineRule="exact"/>
        <w:ind w:left="0" w:right="0" w:firstLine="576"/>
        <w:jc w:val="left"/>
      </w:pPr>
      <w:r>
        <w:rPr/>
        <w:t xml:space="preserve">(3) To achieve and protect the state's long-term ecological health, the department must plan to clean up hazardous waste sites and prevent the creation of future hazards due to improper disposal of toxic wastes at a pace that matches the estimated cash resources in the model toxics control capital account. Estimated cash resources must consider the annual cash flow requirements of major projects that receive appropriations expected to cross multiple biennia.</w:t>
      </w:r>
    </w:p>
    <w:p>
      <w:pPr>
        <w:spacing w:before="0" w:after="0" w:line="408" w:lineRule="exact"/>
        <w:ind w:left="0" w:right="0" w:firstLine="576"/>
        <w:jc w:val="left"/>
      </w:pPr>
      <w:r>
        <w:rPr/>
        <w:t xml:space="preserve">(4) Before September 20th of each even-numbered year, the department must:</w:t>
      </w:r>
    </w:p>
    <w:p>
      <w:pPr>
        <w:spacing w:before="0" w:after="0" w:line="408" w:lineRule="exact"/>
        <w:ind w:left="0" w:right="0" w:firstLine="576"/>
        <w:jc w:val="left"/>
      </w:pPr>
      <w:r>
        <w:rPr/>
        <w:t xml:space="preserve">(a) Develop a comprehensive ten-year financing report in coordination with all local governments with clean</w:t>
      </w:r>
      <w:r>
        <w:rPr/>
        <w:noBreakHyphen/>
      </w:r>
      <w:r>
        <w:rPr/>
        <w:t xml:space="preserve">up responsibilities that identifies the projected biennial hazardous waste site remedial action needs that are eligible for funding from the model toxics control capital account;</w:t>
      </w:r>
    </w:p>
    <w:p>
      <w:pPr>
        <w:spacing w:before="0" w:after="0" w:line="408" w:lineRule="exact"/>
        <w:ind w:left="0" w:right="0" w:firstLine="576"/>
        <w:jc w:val="left"/>
      </w:pPr>
      <w:r>
        <w:rPr/>
        <w:t xml:space="preserve">(b) Work with local governments to develop working capital reserves to be incorporated in the ten-year financing report;</w:t>
      </w:r>
    </w:p>
    <w:p>
      <w:pPr>
        <w:spacing w:before="0" w:after="0" w:line="408" w:lineRule="exact"/>
        <w:ind w:left="0" w:right="0" w:firstLine="576"/>
        <w:jc w:val="left"/>
      </w:pPr>
      <w:r>
        <w:rPr/>
        <w:t xml:space="preserve">(c) Identify the projected remedial action needs for orphaned, abandoned, and other clean</w:t>
      </w:r>
      <w:r>
        <w:rPr/>
        <w:noBreakHyphen/>
      </w:r>
      <w:r>
        <w:rPr/>
        <w:t xml:space="preserve">up sites that are eligible for funding from the model toxics control capital account;</w:t>
      </w:r>
    </w:p>
    <w:p>
      <w:pPr>
        <w:spacing w:before="0" w:after="0" w:line="408" w:lineRule="exact"/>
        <w:ind w:left="0" w:right="0" w:firstLine="576"/>
        <w:jc w:val="left"/>
      </w:pPr>
      <w:r>
        <w:rPr/>
        <w:t xml:space="preserve">(d) Project the remedial action need, cost, revenue, and any recommended working capital reserve estimate to the next biennium's long</w:t>
      </w:r>
      <w:r>
        <w:rPr/>
        <w:noBreakHyphen/>
      </w:r>
      <w:r>
        <w:rPr/>
        <w:t xml:space="preserve">term remedial action needs from </w:t>
      </w:r>
      <w:r>
        <w:rPr>
          <w:u w:val="single"/>
        </w:rPr>
        <w:t xml:space="preserve">the</w:t>
      </w:r>
      <w:r>
        <w:rPr/>
        <w:t xml:space="preserve"> model toxics control capital account, and submit this information to the appropriate standing fiscal and environmental committees of the senate and house of representatives. This submittal must also include a ranked list of such remedial action projects for the model toxics control capital account. The submittal must also identify separate budget estimates for large, multibiennia clean-up projects that exceed ten million dollars. The department must prepare its ten-year capital budget plan that is submitted to the office of financial management to reflect the separate budget estimates for these large clean-up projects and include information on the anticipated private and public funding obligations for completion of the relevant projects.</w:t>
      </w:r>
    </w:p>
    <w:p>
      <w:pPr>
        <w:spacing w:before="0" w:after="0" w:line="408" w:lineRule="exact"/>
        <w:ind w:left="0" w:right="0" w:firstLine="576"/>
        <w:jc w:val="left"/>
      </w:pPr>
      <w:r>
        <w:rPr/>
        <w:t xml:space="preserve">(5) By December 1st of each odd-numbered year, the department must provide the legislature and the public a report of the department's activities supported by appropriations from the model toxics control operating, capital, and stormwater accounts. The report must be prepared and displayed in a manner that allows the legislature and the public to easily determine the statewide and local progress made in cleaning up hazardous waste sites under this chapter. The report must include, at a minimum:</w:t>
      </w:r>
    </w:p>
    <w:p>
      <w:pPr>
        <w:spacing w:before="0" w:after="0" w:line="408" w:lineRule="exact"/>
        <w:ind w:left="0" w:right="0" w:firstLine="576"/>
        <w:jc w:val="left"/>
      </w:pPr>
      <w:r>
        <w:rPr/>
        <w:t xml:space="preserve">(a) The name, location, hazardous waste ranking, and a short description of each site on the hazardous sites list, and the date the site was placed on the hazardous waste sites list; and</w:t>
      </w:r>
    </w:p>
    <w:p>
      <w:pPr>
        <w:spacing w:before="0" w:after="0" w:line="408" w:lineRule="exact"/>
        <w:ind w:left="0" w:right="0" w:firstLine="576"/>
        <w:jc w:val="left"/>
      </w:pPr>
      <w:r>
        <w:rPr/>
        <w:t xml:space="preserve">(b) For sites where there are state contracts, grants, loans, or direct investments by the state:</w:t>
      </w:r>
    </w:p>
    <w:p>
      <w:pPr>
        <w:spacing w:before="0" w:after="0" w:line="408" w:lineRule="exact"/>
        <w:ind w:left="0" w:right="0" w:firstLine="576"/>
        <w:jc w:val="left"/>
      </w:pPr>
      <w:r>
        <w:rPr/>
        <w:t xml:space="preserve">(i) The amount of money from the model toxics control capital account used to conduct remedial actions at the site and the amount of that money recovered from potentially liable persons;</w:t>
      </w:r>
    </w:p>
    <w:p>
      <w:pPr>
        <w:spacing w:before="0" w:after="0" w:line="408" w:lineRule="exact"/>
        <w:ind w:left="0" w:right="0" w:firstLine="576"/>
        <w:jc w:val="left"/>
      </w:pPr>
      <w:r>
        <w:rPr/>
        <w:t xml:space="preserve">(ii) The actual or estimated start and end dates and the actual or estimated expenditures of funds authorized under this chapter for the following project phases:</w:t>
      </w:r>
    </w:p>
    <w:p>
      <w:pPr>
        <w:spacing w:before="0" w:after="0" w:line="408" w:lineRule="exact"/>
        <w:ind w:left="0" w:right="0" w:firstLine="576"/>
        <w:jc w:val="left"/>
      </w:pPr>
      <w:r>
        <w:rPr/>
        <w:t xml:space="preserve">(A) Emergency or interim actions, if needed;</w:t>
      </w:r>
    </w:p>
    <w:p>
      <w:pPr>
        <w:spacing w:before="0" w:after="0" w:line="408" w:lineRule="exact"/>
        <w:ind w:left="0" w:right="0" w:firstLine="576"/>
        <w:jc w:val="left"/>
      </w:pPr>
      <w:r>
        <w:rPr/>
        <w:t xml:space="preserve">(B) Remedial investigation;</w:t>
      </w:r>
    </w:p>
    <w:p>
      <w:pPr>
        <w:spacing w:before="0" w:after="0" w:line="408" w:lineRule="exact"/>
        <w:ind w:left="0" w:right="0" w:firstLine="576"/>
        <w:jc w:val="left"/>
      </w:pPr>
      <w:r>
        <w:rPr/>
        <w:t xml:space="preserve">(C) Feasibility study and selection of a remedy;</w:t>
      </w:r>
    </w:p>
    <w:p>
      <w:pPr>
        <w:spacing w:before="0" w:after="0" w:line="408" w:lineRule="exact"/>
        <w:ind w:left="0" w:right="0" w:firstLine="576"/>
        <w:jc w:val="left"/>
      </w:pPr>
      <w:r>
        <w:rPr/>
        <w:t xml:space="preserve">(D) Engineering design and construction of the selected remedy;</w:t>
      </w:r>
    </w:p>
    <w:p>
      <w:pPr>
        <w:spacing w:before="0" w:after="0" w:line="408" w:lineRule="exact"/>
        <w:ind w:left="0" w:right="0" w:firstLine="576"/>
        <w:jc w:val="left"/>
      </w:pPr>
      <w:r>
        <w:rPr/>
        <w:t xml:space="preserve">(E) Operation and maintenance or monitoring of the constructed remedy; and</w:t>
      </w:r>
    </w:p>
    <w:p>
      <w:pPr>
        <w:spacing w:before="0" w:after="0" w:line="408" w:lineRule="exact"/>
        <w:ind w:left="0" w:right="0" w:firstLine="576"/>
        <w:jc w:val="left"/>
      </w:pPr>
      <w:r>
        <w:rPr/>
        <w:t xml:space="preserve">(F) The final completion date.</w:t>
      </w:r>
    </w:p>
    <w:p>
      <w:pPr>
        <w:spacing w:before="0" w:after="0" w:line="408" w:lineRule="exact"/>
        <w:ind w:left="0" w:right="0" w:firstLine="576"/>
        <w:jc w:val="left"/>
      </w:pPr>
      <w:r>
        <w:rPr/>
        <w:t xml:space="preserve">(6) The department must establish a program to identify potential hazardous waste sites and to encourage persons to provide information about hazardous waste sites.</w:t>
      </w:r>
    </w:p>
    <w:p>
      <w:pPr>
        <w:spacing w:before="0" w:after="0" w:line="408" w:lineRule="exact"/>
        <w:ind w:left="0" w:right="0" w:firstLine="576"/>
        <w:jc w:val="left"/>
      </w:pPr>
      <w:r>
        <w:rPr/>
        <w:t xml:space="preserve">(7) For all facilities where an environmental covenant has been required under subsection (1)(f) of this section, including all facilities where the department has required an environmental covenant under an order, agreed order, or consent decree, or as a condition of a written opinion issued under the authority of RCW 70.105D.180, the department must periodically review the environmental covenant for effectiveness. The department must conduct a review at least once every five years after an environmental covenant is recorded.</w:t>
      </w:r>
    </w:p>
    <w:p>
      <w:pPr>
        <w:spacing w:before="0" w:after="0" w:line="408" w:lineRule="exact"/>
        <w:ind w:left="0" w:right="0" w:firstLine="576"/>
        <w:jc w:val="left"/>
      </w:pPr>
      <w:r>
        <w:rPr/>
        <w:t xml:space="preserve">(a) The review must consist of, at a minimum:</w:t>
      </w:r>
    </w:p>
    <w:p>
      <w:pPr>
        <w:spacing w:before="0" w:after="0" w:line="408" w:lineRule="exact"/>
        <w:ind w:left="0" w:right="0" w:firstLine="576"/>
        <w:jc w:val="left"/>
      </w:pPr>
      <w:r>
        <w:rPr/>
        <w:t xml:space="preserve">(i) A review of the title of the real property subject to the environmental covenant to determine whether the environmental covenant was properly recorded and, if applicable, amended or terminated;</w:t>
      </w:r>
    </w:p>
    <w:p>
      <w:pPr>
        <w:spacing w:before="0" w:after="0" w:line="408" w:lineRule="exact"/>
        <w:ind w:left="0" w:right="0" w:firstLine="576"/>
        <w:jc w:val="left"/>
      </w:pPr>
      <w:r>
        <w:rPr/>
        <w:t xml:space="preserve">(ii) A physical inspection of the real property subject to the environmental covenant to determine compliance with the environmental covenant, including whether any development or redevelopment of the real property has violated the terms of the environmental covenant; and</w:t>
      </w:r>
    </w:p>
    <w:p>
      <w:pPr>
        <w:spacing w:before="0" w:after="0" w:line="408" w:lineRule="exact"/>
        <w:ind w:left="0" w:right="0" w:firstLine="576"/>
        <w:jc w:val="left"/>
      </w:pPr>
      <w:r>
        <w:rPr/>
        <w:t xml:space="preserve">(iii) A review of the effectiveness of the environmental covenant in limiting or prohibiting activities that may interfere with the integrity of the remedial action or that may result in exposure to or migration of hazardous substances. This must include a review of available monitoring data.</w:t>
      </w:r>
    </w:p>
    <w:p>
      <w:pPr>
        <w:spacing w:before="0" w:after="0" w:line="408" w:lineRule="exact"/>
        <w:ind w:left="0" w:right="0" w:firstLine="576"/>
        <w:jc w:val="left"/>
      </w:pPr>
      <w:r>
        <w:rPr/>
        <w:t xml:space="preserve">(b) If an environmental covenant has been amended or terminated without proper authority, or if the terms of an environmental covenant have been violated, or if the environmental covenant is no longer effective in limiting or prohibiting activities that may interfere with the integrity of the remedial action or that may result in exposure to or migration of hazardous substances, then the department must take any and all appropriate actions necessary to ensure compliance with the environmental covenant and the policies and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042</w:t>
      </w:r>
      <w:r>
        <w:rPr/>
        <w:t xml:space="preserve"> and 2003 c 53 s 27 are each amended to read as follows:</w:t>
      </w:r>
    </w:p>
    <w:p>
      <w:pPr>
        <w:spacing w:before="0" w:after="0" w:line="408" w:lineRule="exact"/>
        <w:ind w:left="0" w:right="0" w:firstLine="576"/>
        <w:jc w:val="left"/>
      </w:pPr>
      <w:r>
        <w:rPr/>
        <w:t xml:space="preserve">RCW 9.41.040(2)(a)</w:t>
      </w:r>
      <w:r>
        <w:t>((</w:t>
      </w:r>
      <w:r>
        <w:rPr>
          <w:strike/>
        </w:rPr>
        <w:t xml:space="preserve">(iii)</w:t>
      </w:r>
      <w:r>
        <w:t>))</w:t>
      </w:r>
      <w:r>
        <w:rPr/>
        <w:t xml:space="preserve"> </w:t>
      </w:r>
      <w:r>
        <w:rPr>
          <w:u w:val="single"/>
        </w:rPr>
        <w:t xml:space="preserve">(vi)</w:t>
      </w:r>
      <w:r>
        <w:rPr/>
        <w:t xml:space="preserve"> shall not apply to any person under the age of eighteen years who is:</w:t>
      </w:r>
    </w:p>
    <w:p>
      <w:pPr>
        <w:spacing w:before="0" w:after="0" w:line="408" w:lineRule="exact"/>
        <w:ind w:left="0" w:right="0" w:firstLine="576"/>
        <w:jc w:val="left"/>
      </w:pPr>
      <w:r>
        <w:rPr/>
        <w:t xml:space="preserve">(1) In attendance at a hunter's safety course or a firearms safety course;</w:t>
      </w:r>
    </w:p>
    <w:p>
      <w:pPr>
        <w:spacing w:before="0" w:after="0" w:line="408" w:lineRule="exact"/>
        <w:ind w:left="0" w:right="0" w:firstLine="576"/>
        <w:jc w:val="left"/>
      </w:pPr>
      <w:r>
        <w:rPr/>
        <w:t xml:space="preserve">(2) Engaging in practice in the use of a firearm or target shooting at an established range authorized by the governing body of the jurisdiction in which such range is located or any other area where the discharge of a firearm is not prohibited;</w:t>
      </w:r>
    </w:p>
    <w:p>
      <w:pPr>
        <w:spacing w:before="0" w:after="0" w:line="408" w:lineRule="exact"/>
        <w:ind w:left="0" w:right="0" w:firstLine="576"/>
        <w:jc w:val="left"/>
      </w:pPr>
      <w:r>
        <w:rPr/>
        <w:t xml:space="preserve">(3) Engaging in an organized competition involving the use of a firearm, or participating in or practicing for a performance by an organized group that uses firearms as a part of the performance;</w:t>
      </w:r>
    </w:p>
    <w:p>
      <w:pPr>
        <w:spacing w:before="0" w:after="0" w:line="408" w:lineRule="exact"/>
        <w:ind w:left="0" w:right="0" w:firstLine="576"/>
        <w:jc w:val="left"/>
      </w:pPr>
      <w:r>
        <w:rPr/>
        <w:t xml:space="preserve">(4) Hunting or trapping under a valid license issued to the person under Title 77 RCW;</w:t>
      </w:r>
    </w:p>
    <w:p>
      <w:pPr>
        <w:spacing w:before="0" w:after="0" w:line="408" w:lineRule="exact"/>
        <w:ind w:left="0" w:right="0" w:firstLine="576"/>
        <w:jc w:val="left"/>
      </w:pPr>
      <w:r>
        <w:rPr/>
        <w:t xml:space="preserve">(5) In an area where the discharge of a firearm is permitted, is not trespassing, and the person either: (a) Is at least fourteen years of age, has been issued a hunter safety certificate, and is using a lawful firearm other than a pistol; or (b) is under the supervision of a parent, guardian, or other adult approved for the purpose by the parent or guardian;</w:t>
      </w:r>
    </w:p>
    <w:p>
      <w:pPr>
        <w:spacing w:before="0" w:after="0" w:line="408" w:lineRule="exact"/>
        <w:ind w:left="0" w:right="0" w:firstLine="576"/>
        <w:jc w:val="left"/>
      </w:pPr>
      <w:r>
        <w:rPr/>
        <w:t xml:space="preserve">(6) Traveling with any unloaded firearm in the person's possession to or from any activity described in subsection (1), (2), (3), (4), or (5) of this section;</w:t>
      </w:r>
    </w:p>
    <w:p>
      <w:pPr>
        <w:spacing w:before="0" w:after="0" w:line="408" w:lineRule="exact"/>
        <w:ind w:left="0" w:right="0" w:firstLine="576"/>
        <w:jc w:val="left"/>
      </w:pPr>
      <w:r>
        <w:rPr/>
        <w:t xml:space="preserve">(7) On real property under the control of his or her parent, other relative, or legal guardian and who has the permission of the parent or legal guardian to possess a firearm;</w:t>
      </w:r>
    </w:p>
    <w:p>
      <w:pPr>
        <w:spacing w:before="0" w:after="0" w:line="408" w:lineRule="exact"/>
        <w:ind w:left="0" w:right="0" w:firstLine="576"/>
        <w:jc w:val="left"/>
      </w:pPr>
      <w:r>
        <w:rPr/>
        <w:t xml:space="preserve">(8) At his or her residence and who, with the permission of his or her parent or legal guardian, possesses a firearm for the purpose of exercising the rights specified in RCW 9A.16.020(3); or</w:t>
      </w:r>
    </w:p>
    <w:p>
      <w:pPr>
        <w:spacing w:before="0" w:after="0" w:line="408" w:lineRule="exact"/>
        <w:ind w:left="0" w:right="0" w:firstLine="576"/>
        <w:jc w:val="left"/>
      </w:pPr>
      <w:r>
        <w:rPr/>
        <w:t xml:space="preserve">(9) Is a member of the armed forces of the United States, national guard, or organized reserves, when on duty.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42</w:t>
      </w:r>
      <w:r>
        <w:rPr/>
        <w:t xml:space="preserve">.</w:t>
      </w:r>
      <w:r>
        <w:t xml:space="preserve">010</w:t>
      </w:r>
      <w:r>
        <w:rPr/>
        <w:t xml:space="preserve"> and 2006 c 228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"Basic necessities of life" means food, water, shelter, clothing, and medically necessary health care, including but not limited to health-related treatment or activities, hygiene, oxygen, and medication.</w:t>
      </w:r>
    </w:p>
    <w:p>
      <w:pPr>
        <w:spacing w:before="0" w:after="0" w:line="408" w:lineRule="exact"/>
        <w:ind w:left="0" w:right="0" w:firstLine="576"/>
        <w:jc w:val="left"/>
      </w:pPr>
      <w:r>
        <w:rPr/>
        <w:t xml:space="preserve">(2)(a) "Bodily injury" means physical pain or injury, illness, or an impairment of physical condition;</w:t>
      </w:r>
    </w:p>
    <w:p>
      <w:pPr>
        <w:spacing w:before="0" w:after="0" w:line="408" w:lineRule="exact"/>
        <w:ind w:left="0" w:right="0" w:firstLine="576"/>
        <w:jc w:val="left"/>
      </w:pPr>
      <w:r>
        <w:rPr/>
        <w:t xml:space="preserve">(b) "Substantial bodily harm" means bodily injury which involves a temporary but substantial disfigurement, or which causes a temporary but substantial loss or impairment of the function of any bodily part or organ, or which causes a fracture of any bodily part;</w:t>
      </w:r>
    </w:p>
    <w:p>
      <w:pPr>
        <w:spacing w:before="0" w:after="0" w:line="408" w:lineRule="exact"/>
        <w:ind w:left="0" w:right="0" w:firstLine="576"/>
        <w:jc w:val="left"/>
      </w:pPr>
      <w:r>
        <w:rPr/>
        <w:t xml:space="preserve">(c) "Great bodily harm" means bodily injury which creates a high probability of death, or which causes serious permanent disfigurement, or which causes a permanent or protracted loss or impairment of the function of any bodily part or organ.</w:t>
      </w:r>
    </w:p>
    <w:p>
      <w:pPr>
        <w:spacing w:before="0" w:after="0" w:line="408" w:lineRule="exact"/>
        <w:ind w:left="0" w:right="0" w:firstLine="576"/>
        <w:jc w:val="left"/>
      </w:pPr>
      <w:r>
        <w:rPr/>
        <w:t xml:space="preserve">(3) "Child" means a person under eighteen years of age.</w:t>
      </w:r>
    </w:p>
    <w:p>
      <w:pPr>
        <w:spacing w:before="0" w:after="0" w:line="408" w:lineRule="exact"/>
        <w:ind w:left="0" w:right="0" w:firstLine="576"/>
        <w:jc w:val="left"/>
      </w:pPr>
      <w:r>
        <w:rPr/>
        <w:t xml:space="preserve">(4) "Dependent person" means a person who, because of physical or mental disability, or because of extreme advanced age, is dependent upon another person to provide the basic necessities of life. A resident of a nursing home, as defined in RCW 18.51.010, a resident of an adult family home, as defined in RCW 70.128.010, and a frail elder or vulnerable adult, as defined in RCW 74.34.020</w:t>
      </w:r>
      <w:r>
        <w:t>((</w:t>
      </w:r>
      <w:r>
        <w:rPr>
          <w:strike/>
        </w:rPr>
        <w:t xml:space="preserve">(13)</w:t>
      </w:r>
      <w:r>
        <w:t>))</w:t>
      </w:r>
      <w:r>
        <w:rPr/>
        <w:t xml:space="preserve"> </w:t>
      </w:r>
      <w:r>
        <w:rPr>
          <w:u w:val="single"/>
        </w:rPr>
        <w:t xml:space="preserve">(22)</w:t>
      </w:r>
      <w:r>
        <w:rPr/>
        <w:t xml:space="preserve">, is presumed to be a dependent person for purposes of this chapter.</w:t>
      </w:r>
    </w:p>
    <w:p>
      <w:pPr>
        <w:spacing w:before="0" w:after="0" w:line="408" w:lineRule="exact"/>
        <w:ind w:left="0" w:right="0" w:firstLine="576"/>
        <w:jc w:val="left"/>
      </w:pPr>
      <w:r>
        <w:rPr/>
        <w:t xml:space="preserve">(5) "Employed" means hired by a dependent person, another person acting on behalf of a dependent person, or by an organization or governmental entity, to provide to a dependent person any of the basic necessities of life. A person may be "employed" regardless of whether the person is paid for the services or, if paid, regardless of who pays for the person's services.</w:t>
      </w:r>
    </w:p>
    <w:p>
      <w:pPr>
        <w:spacing w:before="0" w:after="0" w:line="408" w:lineRule="exact"/>
        <w:ind w:left="0" w:right="0" w:firstLine="576"/>
        <w:jc w:val="left"/>
      </w:pPr>
      <w:r>
        <w:rPr/>
        <w:t xml:space="preserve">(6) "Parent" has its ordinary meaning and also includes a guardian and the authorized agent of a parent or guardian.</w:t>
      </w:r>
    </w:p>
    <w:p>
      <w:pPr>
        <w:spacing w:before="0" w:after="0" w:line="408" w:lineRule="exact"/>
        <w:ind w:left="0" w:right="0" w:firstLine="576"/>
        <w:jc w:val="left"/>
      </w:pPr>
      <w:r>
        <w:rPr/>
        <w:t xml:space="preserve">(7) "Abandons" means leaving a child or other dependent person without the means or ability to obtain one or more of the basic necessities of life.</w:t>
      </w:r>
    </w:p>
    <w:p>
      <w:pPr>
        <w:spacing w:before="0" w:after="0" w:line="408" w:lineRule="exact"/>
        <w:ind w:left="0" w:right="0" w:firstLine="576"/>
        <w:jc w:val="left"/>
      </w:pPr>
      <w:r>
        <w:rPr/>
        <w:t xml:space="preserve">(8) "Good samaritan" means any individual or group of individuals who: (a) Is not related to the dependent person; (b) voluntarily provides assistance or services of any type to the dependent person; (c) is not paid, given gifts, or made a beneficiary of any assets valued at five hundred dollars or more, for any reason, by the dependent person, the dependent person's family, or the dependent person's estate; and (d) does not commit or attempt to commit any other crime against the dependent person or the dependent person's estate.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2019 c 322 s 8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060"/>
        <w:gridCol w:w="620"/>
      </w:tblGrid>
      <w:tr>
        <w:tc>
          <w:tcPr>
            <w:gridSpan w:val="5"/>
            <w:tcW w:w="4860" w:type="dxa"/>
            <w:vAlign w:val="bottom"/>
            <w:tcMar>
              <w:left w:w="0"/>
            </w:tcMar>
            <w:tcMar>
              <w:right w:w="0"/>
            </w:tcMar>
            <w:tcMar>
              <w:top w:w="0"/>
            </w:tcMar>
            <w:tcMar>
              <w:bottom w:w="0"/>
            </w:tcMar>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Mar>
              <w:left w:w="0"/>
            </w:tcMar>
            <w:tcMar>
              <w:right w:w="0"/>
            </w:tcMar>
            <w:tcMar>
              <w:top w:w="0"/>
            </w:tcMar>
            <w:tcMar>
              <w:bottom w:w="0"/>
            </w:tcMar>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2"/>
            <w:tcW w:w="880" w:type="dxa"/>
            <w:vAlign w:val="top"/>
            <w:tcMar>
              <w:left w:w="0"/>
            </w:tcMar>
            <w:tcMar>
              <w:right w:w="0"/>
            </w:tcMar>
            <w:tcMar>
              <w:top w:w="0"/>
            </w:tcMar>
            <w:tcMar>
              <w:bottom w:w="0"/>
            </w:tcMar>
          </w:tcPr>
          <w:p>
            <w:pPr>
              <w:spacing w:before="0" w:after="0" w:line="408" w:lineRule="exact"/>
              <w:ind w:left="0" w:right="0" w:firstLine="0"/>
              <w:jc w:val="left"/>
            </w:pPr>
          </w:p>
        </w:tc>
        <w:tc>
          <w:tcPr>
            <w:gridSpan w:val="3"/>
            <w:tcW w:w="39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1 (9A.48.020)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2 (9A.48.030)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1 (9A.48.040)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2 (9A.48.050)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1 (9A.48.070)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2 (9A.48.080)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3 (9A.48.090)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1 (9A.36.011)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2 (9A.36.021)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3 (9A.36.031)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4 (9A.36.041)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Endangerment (9A.36.050)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Suicide Attempt (9A.36.060)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Coercion (9A.36.070)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Custodial Assault (9A.36.100)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Burglary and Trespass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Residential Burglary (9A.52.025)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2 (9A.52.030)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Tools (Possession of) (9A.52.060)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1 (9A.52.070)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2 (9A.52.080)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Mineral Trespass (78.44.330)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1 (9A.52.095)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2 (9A.52.100)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Drugs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Illegally Obtaining Legend Drug (69.41.020)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Legend</w:t>
            </w:r>
          </w:p>
          <w:p>
            <w:pPr>
              <w:spacing w:before="0" w:after="0" w:line="408" w:lineRule="exact"/>
              <w:ind w:left="0" w:right="0" w:firstLine="0"/>
              <w:jc w:val="left"/>
            </w:pPr>
            <w:r>
              <w:rPr>
                <w:rFonts w:ascii="Times New Roman" w:hAnsi="Times New Roman"/>
                <w:sz w:val="20"/>
              </w:rPr>
              <w:t xml:space="preserve">Drug (69.41.030(2)(b))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Marihuana &lt;40 grams (69.50.4014)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Unlawful Inhalation (9.47A.020)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Firearms and Weapons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Firearm (9A.56.300)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Firearm</w:t>
            </w:r>
          </w:p>
          <w:p>
            <w:pPr>
              <w:spacing w:before="0" w:after="0" w:line="408" w:lineRule="exact"/>
              <w:ind w:left="0" w:right="0" w:firstLine="0"/>
              <w:jc w:val="left"/>
            </w:pPr>
            <w:r>
              <w:rPr>
                <w:rFonts w:ascii="Times New Roman" w:hAnsi="Times New Roman"/>
                <w:sz w:val="20"/>
              </w:rPr>
              <w:t xml:space="preserve">(9A.56.310)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Firearms by Minor (&lt;18) (9.41.040(2)(a)</w:t>
            </w:r>
            <w:r>
              <w:t>((</w:t>
            </w:r>
            <w:r>
              <w:rPr>
                <w:rFonts w:ascii="Times New Roman" w:hAnsi="Times New Roman"/>
                <w:strike/>
                <w:sz w:val="20"/>
              </w:rPr>
              <w:t xml:space="preserve">(v)</w:t>
            </w:r>
            <w:r>
              <w:t>))</w:t>
            </w:r>
            <w:r>
              <w:rPr>
                <w:rFonts w:ascii="Times New Roman" w:hAnsi="Times New Roman"/>
                <w:sz w:val="20"/>
              </w:rPr>
              <w:t xml:space="preserve"> </w:t>
            </w:r>
            <w:r>
              <w:rPr>
                <w:rFonts w:ascii="Times New Roman" w:hAnsi="Times New Roman"/>
                <w:sz w:val="20"/>
                <w:u w:val="single"/>
              </w:rPr>
              <w:t xml:space="preserve">(vi)</w:t>
            </w:r>
            <w:r>
              <w:rPr>
                <w:rFonts w:ascii="Times New Roman" w:hAnsi="Times New Roman"/>
                <w:sz w:val="20"/>
              </w:rPr>
              <w:t xml:space="preserv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Dangerous Weapon (9.41.250)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Homicide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1 (9A.32.030)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2 (9A.32.050)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1 (9A.32.060)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2 (9A.32.070)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Homicide (46.61.520)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Kidnapping</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1 (9A.40.020)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2 (9A.40.030)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Unlawful Imprisonment (9A.40.040)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Obstructing Governmental Operation</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Resisting Arrest (9A.76.040)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1 (9A.76.140)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2 (9A.76.150)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3 (9A.76.160)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Intimidating a Public Servant (9A.76.180)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 Witness (9A.72.110)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Public Disturbance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 Weapon (9A.84.010(2)(b))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Failure to Disperse (9A.84.020)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Disorderly Conduct (9A.84.030)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Sex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1 (9A.44.040)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3 (9A.44.060)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2 (9A.44.076)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1 (9A.64.020(1))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2 (9A.64.020(2))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&lt;14)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1 (9A.88.070)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2 (9A.88.080)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 &amp; A (Prostitution) (9A.88.030)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Liberties (9A.44.100)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2 (9A.44.086)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Theft, Robbery, Extortion, and Forgery</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1 (9A.56.030)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2 (9A.56.040)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3 (9A.56.050)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Forgery (9A.60.020)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2 (9A.56.210)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1 (9A.56.120)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2 (9A.56.130)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1 (9.35.020(2))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2 (9.35.020(3))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a Stolen Vehicle (9A.56.068)</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1 (9A.56.150)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2 (9A.56.160)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3 (9A.56.170)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a Motor Vehicle (9A.56.065)</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Motor Vehicle Related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Without a License (46.20.005)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Death (46.52.020(4)(a))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Injury (46.52.020(4)(b))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Run-Attended (46.52.020(5))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Run-Unattended (46.52.010)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Assault (46.61.522)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Driving (46.61.500)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Other</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Animal Cruelty 1 (16.52.205)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Bomb Threat (9.61.160)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(9A.76.110)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(9A.76.120)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3 (9A.76.130)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- 28 days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0"/>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5"/>
            <w:tcW w:w="7460" w:type="dxa"/>
            <w:vAlign w:val="top"/>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 to 260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30-40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CURRENT</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OFFENSE</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4"/>
            <w:tcW w:w="5980" w:type="dxa"/>
            <w:vAlign w:val="top"/>
            <w:vMerge w:val="restart"/>
            <w:tcMar>
              <w:left w:w="120"/>
            </w:tcMar>
            <w:tcMar>
              <w:right w:w="120"/>
            </w:tcMar>
            <w:tcMar>
              <w:top w:w="40"/>
            </w:tcMar>
            <w:tcMar>
              <w:bottom w:w="40"/>
            </w:tcMar>
          </w:tcPr>
          <w:p>
            <w:pPr>
              <w:spacing w:before="120" w:after="0" w:line="408" w:lineRule="exact"/>
              <w:ind w:left="0" w:right="0" w:firstLine="0"/>
              <w:jc w:val="center"/>
            </w:pPr>
          </w:p>
        </w:tc>
        <w:tc>
          <w:tcPr>
            <w:tcW w:w="148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B</w:t>
      </w:r>
    </w:p>
    <w:p>
      <w:pPr>
        <w:spacing w:before="0" w:after="0" w:line="408" w:lineRule="exact"/>
        <w:ind w:left="0" w:right="0" w:firstLine="0"/>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w:t>
      </w:r>
    </w:p>
    <w:p>
      <w:pPr>
        <w:spacing w:before="0" w:after="0" w:line="408" w:lineRule="exact"/>
        <w:ind w:left="0" w:right="0" w:firstLine="576"/>
        <w:jc w:val="left"/>
      </w:pPr>
      <w:r>
        <w:rPr/>
        <w:t xml:space="preserve">(a) Is adjudicated of an A+ or A++ offense;</w:t>
      </w:r>
    </w:p>
    <w:p>
      <w:pPr>
        <w:spacing w:before="0" w:after="0" w:line="408" w:lineRule="exact"/>
        <w:ind w:left="0" w:right="0" w:firstLine="576"/>
        <w:jc w:val="left"/>
      </w:pPr>
      <w:r>
        <w:rPr/>
        <w:t xml:space="preserve">(b) Is fourteen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w:t>
      </w:r>
    </w:p>
    <w:p>
      <w:pPr>
        <w:spacing w:before="0" w:after="0" w:line="408" w:lineRule="exact"/>
        <w:ind w:left="0" w:right="0" w:firstLine="576"/>
        <w:jc w:val="left"/>
      </w:pPr>
      <w:r>
        <w:rPr/>
        <w:t xml:space="preserve">(iii) Assault in the second degree (RCW 9A.36.021), extortion in the first degree (RCW 9A.56.120), kidnapping in the second degree (RCW 9A.40.030), drive-by shooting (RCW 9A.36.045), vehicular homicide (RCW 46.61.520), hit and run death (RCW 46.52.020(4)(a)), or manslaughter 2 (RCW 9A.32.070); or</w:t>
      </w:r>
    </w:p>
    <w:p>
      <w:pPr>
        <w:spacing w:before="0" w:after="0" w:line="408" w:lineRule="exact"/>
        <w:ind w:left="0" w:right="0" w:firstLine="576"/>
        <w:jc w:val="left"/>
      </w:pPr>
      <w:r>
        <w:rPr/>
        <w:t xml:space="preserve">(iv) Violation of the uniform controlled substances act (RCW 69.50.401(2) (a) and (b)),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Is ordered to serve a disposition for a firearm violation under RCW 13.40.193;</w:t>
      </w:r>
    </w:p>
    <w:p>
      <w:pPr>
        <w:spacing w:before="0" w:after="0" w:line="408" w:lineRule="exact"/>
        <w:ind w:left="0" w:right="0" w:firstLine="576"/>
        <w:jc w:val="left"/>
      </w:pPr>
      <w:r>
        <w:rPr/>
        <w:t xml:space="preserve">(d) Is adjudicated of a sex offense as defined in RCW 9.94A.030; or</w:t>
      </w:r>
    </w:p>
    <w:p>
      <w:pPr>
        <w:spacing w:before="0" w:after="0" w:line="408" w:lineRule="exact"/>
        <w:ind w:left="0" w:right="0" w:firstLine="576"/>
        <w:jc w:val="left"/>
      </w:pPr>
      <w:r>
        <w:rPr/>
        <w:t xml:space="preserve">(e) Has a prior option B disposition.</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C</w:t>
      </w:r>
    </w:p>
    <w:p>
      <w:pPr>
        <w:spacing w:before="0" w:after="0" w:line="408" w:lineRule="exact"/>
        <w:ind w:left="0" w:right="0" w:firstLine="0"/>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a B++ or B+ offense, the court may impose a disposition under RCW 13.40.160(4) and 13.40.165.</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D</w:t>
      </w:r>
    </w:p>
    <w:p>
      <w:pPr>
        <w:spacing w:before="0" w:after="0" w:line="408" w:lineRule="exact"/>
        <w:ind w:left="0" w:right="0" w:firstLine="0"/>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160</w:t>
      </w:r>
      <w:r>
        <w:rPr/>
        <w:t xml:space="preserve"> and 2011 c 338 s 2 are each amended to read as follows:</w:t>
      </w:r>
    </w:p>
    <w:p>
      <w:pPr>
        <w:spacing w:before="0" w:after="0" w:line="408" w:lineRule="exact"/>
        <w:ind w:left="0" w:right="0" w:firstLine="576"/>
        <w:jc w:val="left"/>
      </w:pPr>
      <w:r>
        <w:rPr/>
        <w:t xml:space="preserve">(1) The standard range disposition for a juvenile adjudicated of an offense is determined according to RCW 13.40.0357.</w:t>
      </w:r>
    </w:p>
    <w:p>
      <w:pPr>
        <w:spacing w:before="0" w:after="0" w:line="408" w:lineRule="exact"/>
        <w:ind w:left="0" w:right="0" w:firstLine="576"/>
        <w:jc w:val="left"/>
      </w:pPr>
      <w:r>
        <w:rPr/>
        <w:t xml:space="preserve">(a) When the court sentences an offender to a local sanction as provided in RCW 13.40.0357 option A, the court shall impose a determinate disposition within the standard ranges, except as provided in subsection (2), (3), (4), (5), or (6) of this section. The disposition may be comprised of one or more local sanctions.</w:t>
      </w:r>
    </w:p>
    <w:p>
      <w:pPr>
        <w:spacing w:before="0" w:after="0" w:line="408" w:lineRule="exact"/>
        <w:ind w:left="0" w:right="0" w:firstLine="576"/>
        <w:jc w:val="left"/>
      </w:pPr>
      <w:r>
        <w:rPr/>
        <w:t xml:space="preserve">(b) When the court sentences an offender to a standard range as provided in RCW 13.40.0357 option A that includes a term of confinement exceeding thirty days, commitment shall be to the department for the standard range of confinement, except as provided in subsection (2), (3), (4), (5), or (6) of this section.</w:t>
      </w:r>
    </w:p>
    <w:p>
      <w:pPr>
        <w:spacing w:before="0" w:after="0" w:line="408" w:lineRule="exact"/>
        <w:ind w:left="0" w:right="0" w:firstLine="576"/>
        <w:jc w:val="left"/>
      </w:pPr>
      <w:r>
        <w:rPr/>
        <w:t xml:space="preserve">(2) If the court concludes, and enters reasons for its conclusion, that disposition within the standard range would effectuate a manifest injustice the court shall impose a disposition outside the standard range, as indicated in option D of RCW 13.40.0357. The court's finding of manifest injustice shall be supported by clear and convincing evidence.</w:t>
      </w:r>
    </w:p>
    <w:p>
      <w:pPr>
        <w:spacing w:before="0" w:after="0" w:line="408" w:lineRule="exact"/>
        <w:ind w:left="0" w:right="0" w:firstLine="576"/>
        <w:jc w:val="left"/>
      </w:pPr>
      <w:r>
        <w:rPr/>
        <w:t xml:space="preserve">A disposition outside the standard range shall be determinate and shall be comprised of confinement or community supervision, or a combination thereof. When a judge finds a manifest injustice and imposes a sentence of confinement exceeding thirty days, the court shall sentence the juvenile to a maximum term, and the provisions of RCW 13.40.030(2) shall be used to determine the range. A disposition outside the standard range is appealable under RCW 13.40.230 by the state or the respondent. A disposition within the standard range is not appealable under RCW 13.40.230.</w:t>
      </w:r>
    </w:p>
    <w:p>
      <w:pPr>
        <w:spacing w:before="0" w:after="0" w:line="408" w:lineRule="exact"/>
        <w:ind w:left="0" w:right="0" w:firstLine="576"/>
        <w:jc w:val="left"/>
      </w:pPr>
      <w:r>
        <w:rPr/>
        <w:t xml:space="preserve">(3) If a juvenile offender is found to have committed a sex offense, other than a sex offense that is also a serious violent offense as defined by RCW 9.94A.030, and has no history of a prior sex offense, the court may impose the special sex offender disposition alternative under RCW 13.40.162.</w:t>
      </w:r>
    </w:p>
    <w:p>
      <w:pPr>
        <w:spacing w:before="0" w:after="0" w:line="408" w:lineRule="exact"/>
        <w:ind w:left="0" w:right="0" w:firstLine="576"/>
        <w:jc w:val="left"/>
      </w:pPr>
      <w:r>
        <w:rPr/>
        <w:t xml:space="preserve">(4) If the juvenile offender is subject to a standard range disposition of local sanctions or 15 to 36 weeks of confinement and has not committed an A- or B+ offense, the court may impose the disposition alternative under RCW 13.40.165.</w:t>
      </w:r>
    </w:p>
    <w:p>
      <w:pPr>
        <w:spacing w:before="0" w:after="0" w:line="408" w:lineRule="exact"/>
        <w:ind w:left="0" w:right="0" w:firstLine="576"/>
        <w:jc w:val="left"/>
      </w:pPr>
      <w:r>
        <w:rPr/>
        <w:t xml:space="preserve">(5) If a juvenile is subject to a commitment of 15 to 65 weeks of confinement, the court may impose the disposition alternative under RCW 13.40.167.</w:t>
      </w:r>
    </w:p>
    <w:p>
      <w:pPr>
        <w:spacing w:before="0" w:after="0" w:line="408" w:lineRule="exact"/>
        <w:ind w:left="0" w:right="0" w:firstLine="576"/>
        <w:jc w:val="left"/>
      </w:pPr>
      <w:r>
        <w:rPr/>
        <w:t xml:space="preserve">(6) When the offender is subject to a standard range commitment of 15 to 36 weeks and is ineligible for a suspended disposition alternative, a manifest injustice disposition below the standard range, special sex offender disposition alternative, chemical dependency disposition alternative, or mental health disposition alternative, the court in a county with a pilot program under RCW 13.40.169 may impose the disposition alternative under RCW 13.40.169.</w:t>
      </w:r>
    </w:p>
    <w:p>
      <w:pPr>
        <w:spacing w:before="0" w:after="0" w:line="408" w:lineRule="exact"/>
        <w:ind w:left="0" w:right="0" w:firstLine="576"/>
        <w:jc w:val="left"/>
      </w:pPr>
      <w:r>
        <w:rPr/>
        <w:t xml:space="preserve">(7) RCW 13.40.193 shall govern the disposition of any juvenile adjudicated of possessing a firearm in violation of RCW 9.41.040(2)(a)</w:t>
      </w:r>
      <w:r>
        <w:t>((</w:t>
      </w:r>
      <w:r>
        <w:rPr>
          <w:strike/>
        </w:rPr>
        <w:t xml:space="preserve">(iii)</w:t>
      </w:r>
      <w:r>
        <w:t>))</w:t>
      </w:r>
      <w:r>
        <w:rPr/>
        <w:t xml:space="preserve"> </w:t>
      </w:r>
      <w:r>
        <w:rPr>
          <w:u w:val="single"/>
        </w:rPr>
        <w:t xml:space="preserve">(vi)</w:t>
      </w:r>
      <w:r>
        <w:rPr/>
        <w:t xml:space="preserve"> or any crime in which a special finding is entered that the juvenile was armed with a firearm.</w:t>
      </w:r>
    </w:p>
    <w:p>
      <w:pPr>
        <w:spacing w:before="0" w:after="0" w:line="408" w:lineRule="exact"/>
        <w:ind w:left="0" w:right="0" w:firstLine="576"/>
        <w:jc w:val="left"/>
      </w:pPr>
      <w:r>
        <w:rPr/>
        <w:t xml:space="preserve">(8) RCW 13.40.308 shall govern the disposition of any juvenile adjudicated of theft of a motor vehicle as defined under RCW 9A.56.065, possession of a stolen motor vehicle as defined under RCW 9A.56.068, taking a motor vehicle without permission in the first degree under RCW 9A.56.070, and taking a motor vehicle without permission in the second degree under RCW 9A.56.075.</w:t>
      </w:r>
    </w:p>
    <w:p>
      <w:pPr>
        <w:spacing w:before="0" w:after="0" w:line="408" w:lineRule="exact"/>
        <w:ind w:left="0" w:right="0" w:firstLine="576"/>
        <w:jc w:val="left"/>
      </w:pPr>
      <w:r>
        <w:rPr/>
        <w:t xml:space="preserve">(9) Whenever a juvenile offender is entitled to credit for time spent in detention prior to a dispositional order, the dispositional order shall specifically state the number of days of credit for time served.</w:t>
      </w:r>
    </w:p>
    <w:p>
      <w:pPr>
        <w:spacing w:before="0" w:after="0" w:line="408" w:lineRule="exact"/>
        <w:ind w:left="0" w:right="0" w:firstLine="576"/>
        <w:jc w:val="left"/>
      </w:pPr>
      <w:r>
        <w:rPr/>
        <w:t xml:space="preserve">(10) Except as provided under subsection (3), (4), (5), or (6) of this section, or option B of RCW 13.40.0357, or RCW 13.40.127, the court shall not suspend or defer the imposition or the execution of the disposition.</w:t>
      </w:r>
    </w:p>
    <w:p>
      <w:pPr>
        <w:spacing w:before="0" w:after="0" w:line="408" w:lineRule="exact"/>
        <w:ind w:left="0" w:right="0" w:firstLine="576"/>
        <w:jc w:val="left"/>
      </w:pPr>
      <w:r>
        <w:rPr/>
        <w:t xml:space="preserve">(11) In no case shall the term of confinement imposed by the court at disposition exceed that to which an adult could be subjected for the same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193</w:t>
      </w:r>
      <w:r>
        <w:rPr/>
        <w:t xml:space="preserve"> and 2019 c 64 s 4 are each amended to read as follows:</w:t>
      </w:r>
    </w:p>
    <w:p>
      <w:pPr>
        <w:spacing w:before="0" w:after="0" w:line="408" w:lineRule="exact"/>
        <w:ind w:left="0" w:right="0" w:firstLine="576"/>
        <w:jc w:val="left"/>
      </w:pPr>
      <w:r>
        <w:rPr/>
        <w:t xml:space="preserve">(1) If a respondent is found to have been in possession of a firearm in violation of RCW 9.41.040(2)(a)</w:t>
      </w:r>
      <w:r>
        <w:t>((</w:t>
      </w:r>
      <w:r>
        <w:rPr>
          <w:strike/>
        </w:rPr>
        <w:t xml:space="preserve">(v)</w:t>
      </w:r>
      <w:r>
        <w:t>))</w:t>
      </w:r>
      <w:r>
        <w:rPr/>
        <w:t xml:space="preserve"> </w:t>
      </w:r>
      <w:r>
        <w:rPr>
          <w:u w:val="single"/>
        </w:rPr>
        <w:t xml:space="preserve">(vi)</w:t>
      </w:r>
      <w:r>
        <w:rPr/>
        <w:t xml:space="preserve">, the court shall impose a minimum disposition of ten days of confinement. If the offender's standard range of disposition for the offense as indicated in RCW 13.40.0357 is more than thirty days of confinement, the court shall commit the offender to the department for the standard range disposition. The offender shall not be released until the offender has served a minimum of ten days in confinement.</w:t>
      </w:r>
    </w:p>
    <w:p>
      <w:pPr>
        <w:spacing w:before="0" w:after="0" w:line="408" w:lineRule="exact"/>
        <w:ind w:left="0" w:right="0" w:firstLine="576"/>
        <w:jc w:val="left"/>
      </w:pPr>
      <w:r>
        <w:rPr/>
        <w:t xml:space="preserve">(2)(a) If a respondent is found to have been in possession of a firearm in violation of RCW 9.41.040, the disposition must include a requirement that the respondent participate in a qualifying program as described in (b) of this subsection,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rPr/>
        <w:t xml:space="preserve">(b) For purposes of this section, "qualifying program" means an aggression replacement training program, a functional family therapy program, or another program applicable to the juvenile firearm offender population that has been identified as evidence-based or research-based and cost-beneficial in the current list prepared at the direction of the legislature by the Washington state institute for public policy.</w:t>
      </w:r>
    </w:p>
    <w:p>
      <w:pPr>
        <w:spacing w:before="0" w:after="0" w:line="408" w:lineRule="exact"/>
        <w:ind w:left="0" w:right="0" w:firstLine="576"/>
        <w:jc w:val="left"/>
      </w:pPr>
      <w:r>
        <w:rPr/>
        <w:t xml:space="preserve">(3) If the court finds that the respondent or an accomplice was armed with a firearm, the court shall determine the standard range disposition for the offense pursuant to RCW 13.40.160. If the offender or an accomplice was armed with a firearm when the offender committed any felony other than possession of a machine gun or bump-fire stock, possession of a stolen firearm, drive-by shooting, theft of a firearm, unlawful possession of a firearm in the first and second degree, or use of a machine gun or bump-fire stock in a felony, the following periods of total confinement must be added to the sentence: (a) Except for (b) of this subsection, for a class A felony, six months; for a class B felony, four months; and for a class C felony, two months; (b) for any violent offense as defined in RCW 9.94A.030, committed by a respondent who is sixteen or seventeen years old at the time of the offense, a period of twelve months. The additional time shall be imposed regardless of the offense's juvenile disposition offense category as designated in RCW 13.40.0357.</w:t>
      </w:r>
    </w:p>
    <w:p>
      <w:pPr>
        <w:spacing w:before="0" w:after="0" w:line="408" w:lineRule="exact"/>
        <w:ind w:left="0" w:right="0" w:firstLine="576"/>
        <w:jc w:val="left"/>
      </w:pPr>
      <w:r>
        <w:rPr/>
        <w:t xml:space="preserve">(4)(a) If the court finds that the respondent who is sixteen or seventeen years old and committed the offense of robbery in the first degree, drive-by shooting, rape of a child in the first degree, burglary in the first degree, or any violent offense as defined in RCW 9.94A.030 and was armed with a firearm, and the court finds that the respondent's participation was related to membership in a criminal street gang or advancing the benefit, aggrandizement, gain, profit, or other advantage for a criminal street gang, a period of three months total confinement must be added to the sentence. The additional time must be imposed regardless of the offense's juvenile disposition offense category as designated in RCW 13.40.0357 and must be served consecutively with any other sentencing enhancement.</w:t>
      </w:r>
    </w:p>
    <w:p>
      <w:pPr>
        <w:spacing w:before="0" w:after="0" w:line="408" w:lineRule="exact"/>
        <w:ind w:left="0" w:right="0" w:firstLine="576"/>
        <w:jc w:val="left"/>
      </w:pPr>
      <w:r>
        <w:rPr/>
        <w:t xml:space="preserve">(b) For the purposes of this section,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(5) When a disposition under this section would effectuate a manifest injustice, the court may impose another disposition. When a judge finds a manifest injustice and imposes a disposition of confinement exceeding thirty days, the court shall commit the juvenile to a maximum term, and the provisions of RCW 13.40.030(2) shall be used to determine the range. When a judge finds a manifest injustice and imposes a disposition of confinement less than thirty days, the disposition shall be comprised of confinement or community supervision or both.</w:t>
      </w:r>
    </w:p>
    <w:p>
      <w:pPr>
        <w:spacing w:before="0" w:after="0" w:line="408" w:lineRule="exact"/>
        <w:ind w:left="0" w:right="0" w:firstLine="576"/>
        <w:jc w:val="left"/>
      </w:pPr>
      <w:r>
        <w:rPr/>
        <w:t xml:space="preserve">(6) Any term of confinement ordered pursuant to this section shall run consecutively to any term of confinement imposed in the same disposition for other offenses.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265</w:t>
      </w:r>
      <w:r>
        <w:rPr/>
        <w:t xml:space="preserve"> and 2016 c 136 s 6 are each amended to read as follows:</w:t>
      </w:r>
    </w:p>
    <w:p>
      <w:pPr>
        <w:spacing w:before="0" w:after="0" w:line="408" w:lineRule="exact"/>
        <w:ind w:left="0" w:right="0" w:firstLine="576"/>
        <w:jc w:val="left"/>
      </w:pPr>
      <w:r>
        <w:rPr/>
        <w:t xml:space="preserve">(1) If a juvenile thirteen years of age or older is found by juvenile court to have committed an offense while armed with a firearm or an offense that is a violation of RCW 9.41.040(2)(a)</w:t>
      </w:r>
      <w:r>
        <w:t>((</w:t>
      </w:r>
      <w:r>
        <w:rPr>
          <w:strike/>
        </w:rPr>
        <w:t xml:space="preserve">(iv)</w:t>
      </w:r>
      <w:r>
        <w:t>))</w:t>
      </w:r>
      <w:r>
        <w:rPr/>
        <w:t xml:space="preserve"> </w:t>
      </w:r>
      <w:r>
        <w:rPr>
          <w:u w:val="single"/>
        </w:rPr>
        <w:t xml:space="preserve">(vi)</w:t>
      </w:r>
      <w:r>
        <w:rPr/>
        <w:t xml:space="preserve"> or chapter 66.44, 69.41, 69.50, or 69.52 RCW, the court shall notify the department of licensing within twenty-four hours after entry of the judgment, unless the offense is the juvenile's first offense while armed with a firearm, first unlawful possession of a firearm offense, or first offense in violation of chapter 66.44, 69.41, 69.50, or 69.52 RCW.</w:t>
      </w:r>
    </w:p>
    <w:p>
      <w:pPr>
        <w:spacing w:before="0" w:after="0" w:line="408" w:lineRule="exact"/>
        <w:ind w:left="0" w:right="0" w:firstLine="576"/>
        <w:jc w:val="left"/>
      </w:pPr>
      <w:r>
        <w:rPr/>
        <w:t xml:space="preserve">(2) Except as otherwise provided in subsection (3) of this section, upon petition of a juvenile who has been found by the court to have committed an offense that is a violation of chapter 66.44, 69.41, 69.50, or 69.52 RCW, the court may at any time the court deems appropriate notify the department of licensing that the juvenile's driving privileges should be reinstated.</w:t>
      </w:r>
    </w:p>
    <w:p>
      <w:pPr>
        <w:spacing w:before="0" w:after="0" w:line="408" w:lineRule="exact"/>
        <w:ind w:left="0" w:right="0" w:firstLine="576"/>
        <w:jc w:val="left"/>
      </w:pPr>
      <w:r>
        <w:rPr/>
        <w:t xml:space="preserve">(3) If the offense is the juvenile's second or subsequent violation of chapter 66.44, 69.41, 69.50, or 69.52 RCW, the juvenile may not petition the court for reinstatement of the juvenile's privilege to drive revoked pursuant to RCW 46.20.265 until the date the juvenile turns seventeen or one year after the date judgment was entered, whichever is later.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210</w:t>
      </w:r>
      <w:r>
        <w:rPr/>
        <w:t xml:space="preserve"> and 2000 c 231 s 1 are each amended to read as follows:</w:t>
      </w:r>
    </w:p>
    <w:p>
      <w:pPr>
        <w:spacing w:before="0" w:after="0" w:line="408" w:lineRule="exact"/>
        <w:ind w:left="0" w:right="0" w:firstLine="576"/>
        <w:jc w:val="left"/>
      </w:pPr>
      <w:r>
        <w:rPr/>
        <w:t xml:space="preserve">Every school district board of directors may, in accordance with chapters 41.56 and 41.59 RCW, establish an attendance incentive program for all certificated and classified employees in the following manner, including covering persons who were employed during the 1982</w:t>
      </w:r>
      <w:r>
        <w:rPr/>
        <w:noBreakHyphen/>
      </w:r>
      <w:r>
        <w:rPr/>
        <w:t xml:space="preserve">'83 school year:</w:t>
      </w:r>
    </w:p>
    <w:p>
      <w:pPr>
        <w:spacing w:before="0" w:after="0" w:line="408" w:lineRule="exact"/>
        <w:ind w:left="0" w:right="0" w:firstLine="576"/>
        <w:jc w:val="left"/>
      </w:pPr>
      <w:r>
        <w:rPr/>
        <w:t xml:space="preserve">(1) In January of the year following any year in which a minimum of sixty days of leave for illness or injury is accrued, and each January thereafter, any eligible employee may exercise an option to receive remuneration for unused leave for illness or injury accumulated in the previous year at a rate equal to one day's monetary compensation of the employee for each four full days of accrued leave for illness or injury in excess of sixty days. Leave for illness or injury for which compensation has been received shall be deducted from accrued leave for illness or injury at the rate of four days for every one day's monetary compensation. No employee may receive compensation under this section for any portion of leave for illness or injury accumulated at a rate in excess of one day per month.</w:t>
      </w:r>
    </w:p>
    <w:p>
      <w:pPr>
        <w:spacing w:before="0" w:after="0" w:line="408" w:lineRule="exact"/>
        <w:ind w:left="0" w:right="0" w:firstLine="576"/>
        <w:jc w:val="left"/>
      </w:pPr>
      <w:r>
        <w:rPr/>
        <w:t xml:space="preserve">(2) Except as provided in RCW 28A.400.212, at the time of separation from school district employment an eligible employee or the employee's estate shall receive remuneration at a rate equal to one day's current monetary compensation of the employee for each four full days accrued leave for illness or injury. For purposes of this subsection, "eligible employee" means (a) employees who separate from employment due to retirement or death; (b) employees who separate from employment and who are at least age fifty-five and have at least ten years of service under the teachers' retirement system plan 3 as defined in RCW 41.32.010</w:t>
      </w:r>
      <w:r>
        <w:t>((</w:t>
      </w:r>
      <w:r>
        <w:rPr>
          <w:strike/>
        </w:rPr>
        <w:t xml:space="preserve">(40)</w:t>
      </w:r>
      <w:r>
        <w:t>))</w:t>
      </w:r>
      <w:r>
        <w:rPr/>
        <w:t xml:space="preserve"> </w:t>
      </w:r>
      <w:r>
        <w:rPr>
          <w:u w:val="single"/>
        </w:rPr>
        <w:t xml:space="preserve">(33)</w:t>
      </w:r>
      <w:r>
        <w:rPr/>
        <w:t xml:space="preserve">, or under the Washington school employees' retirement system plan 3 as defined in RCW 41.35.010</w:t>
      </w:r>
      <w:r>
        <w:t>((</w:t>
      </w:r>
      <w:r>
        <w:rPr>
          <w:strike/>
        </w:rPr>
        <w:t xml:space="preserve">(31)</w:t>
      </w:r>
      <w:r>
        <w:t>))</w:t>
      </w:r>
      <w:r>
        <w:rPr/>
        <w:t xml:space="preserve"> </w:t>
      </w:r>
      <w:r>
        <w:rPr>
          <w:u w:val="single"/>
        </w:rPr>
        <w:t xml:space="preserve">(25)</w:t>
      </w:r>
      <w:r>
        <w:rPr/>
        <w:t xml:space="preserve">; or (c) employees who separate from employment and who are at least age fifty-five and have at least fifteen years of service under the teachers' retirement system plan 2 as defined in RCW 41.32.010</w:t>
      </w:r>
      <w:r>
        <w:t>((</w:t>
      </w:r>
      <w:r>
        <w:rPr>
          <w:strike/>
        </w:rPr>
        <w:t xml:space="preserve">(39)</w:t>
      </w:r>
      <w:r>
        <w:t>))</w:t>
      </w:r>
      <w:r>
        <w:rPr/>
        <w:t xml:space="preserve"> </w:t>
      </w:r>
      <w:r>
        <w:rPr>
          <w:u w:val="single"/>
        </w:rPr>
        <w:t xml:space="preserve">(32)</w:t>
      </w:r>
      <w:r>
        <w:rPr/>
        <w:t xml:space="preserve">, under the Washington school employees' retirement system plan 2 as defined in RCW 41.35.010</w:t>
      </w:r>
      <w:r>
        <w:t>((</w:t>
      </w:r>
      <w:r>
        <w:rPr>
          <w:strike/>
        </w:rPr>
        <w:t xml:space="preserve">(30)</w:t>
      </w:r>
      <w:r>
        <w:t>))</w:t>
      </w:r>
      <w:r>
        <w:rPr/>
        <w:t xml:space="preserve"> </w:t>
      </w:r>
      <w:r>
        <w:rPr>
          <w:u w:val="single"/>
        </w:rPr>
        <w:t xml:space="preserve">(24)</w:t>
      </w:r>
      <w:r>
        <w:rPr/>
        <w:t xml:space="preserve">, or under the public employees' retirement system plan 2 as defined in RCW 41.40.010</w:t>
      </w:r>
      <w:r>
        <w:t>((</w:t>
      </w:r>
      <w:r>
        <w:rPr>
          <w:strike/>
        </w:rPr>
        <w:t xml:space="preserve">(34)</w:t>
      </w:r>
      <w:r>
        <w:t>))</w:t>
      </w:r>
      <w:r>
        <w:rPr/>
        <w:t xml:space="preserve"> </w:t>
      </w:r>
      <w:r>
        <w:rPr>
          <w:u w:val="single"/>
        </w:rPr>
        <w:t xml:space="preserve">(28)</w:t>
      </w:r>
      <w:r>
        <w:rPr/>
        <w:t xml:space="preserve">.</w:t>
      </w:r>
    </w:p>
    <w:p>
      <w:pPr>
        <w:spacing w:before="0" w:after="0" w:line="408" w:lineRule="exact"/>
        <w:ind w:left="0" w:right="0" w:firstLine="576"/>
        <w:jc w:val="left"/>
      </w:pPr>
      <w:r>
        <w:rPr/>
        <w:t xml:space="preserve">(3) In lieu of remuneration for unused leave for illness or injury as provided in subsections (1) and (2) of this section, a school district board of directors may, with equivalent funds, provide eligible employees a benefit plan that provides reimbursement for medical expenses. Any benefit plan adopted after July 28, 1991, shall require, as a condition of participation under the plan, that the employee sign an agreement with the district to hold the district harmless should the United States government find that the district or the employee is in debt to the United States as a result of the employee not paying income taxes due on the equivalent funds placed into the plan, or as a result of the district not withholding or deducting any tax, assessment, or other payment on such funds as required under federal law.</w:t>
      </w:r>
    </w:p>
    <w:p>
      <w:pPr>
        <w:spacing w:before="0" w:after="0" w:line="408" w:lineRule="exact"/>
        <w:ind w:left="0" w:right="0" w:firstLine="576"/>
        <w:jc w:val="left"/>
      </w:pPr>
      <w:r>
        <w:rPr/>
        <w:t xml:space="preserve">Moneys or benefits received under this section shall not be included for the purposes of computing a retirement allowance under any public retirement system in this state.</w:t>
      </w:r>
    </w:p>
    <w:p>
      <w:pPr>
        <w:spacing w:before="0" w:after="0" w:line="408" w:lineRule="exact"/>
        <w:ind w:left="0" w:right="0" w:firstLine="576"/>
        <w:jc w:val="left"/>
      </w:pPr>
      <w:r>
        <w:rPr/>
        <w:t xml:space="preserve">The superintendent of public instruction in its administration hereof, shall promulgate uniform rules and regulations to carry out the purposes of this section.</w:t>
      </w:r>
    </w:p>
    <w:p>
      <w:pPr>
        <w:spacing w:before="0" w:after="0" w:line="408" w:lineRule="exact"/>
        <w:ind w:left="0" w:right="0" w:firstLine="576"/>
        <w:jc w:val="left"/>
      </w:pPr>
      <w:r>
        <w:rPr/>
        <w:t xml:space="preserve">Should the legislature revoke any benefits granted under this section, no affected employee shall be entitled thereafter to receive such benefits as a matter of contractual right.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175</w:t>
      </w:r>
      <w:r>
        <w:rPr/>
        <w:t xml:space="preserve"> and 2011 c 159 s 2 are each amended to read as follows:</w:t>
      </w:r>
    </w:p>
    <w:p>
      <w:pPr>
        <w:spacing w:before="0" w:after="0" w:line="408" w:lineRule="exact"/>
        <w:ind w:left="0" w:right="0" w:firstLine="576"/>
        <w:jc w:val="left"/>
      </w:pPr>
      <w:r>
        <w:rPr/>
        <w:t xml:space="preserve">(1) Each health plan offered to public employees and their covered dependents under this chapter, including those subject to the provision of Title 48 RCW, and is issued or renewed beginning January 1, 2012, and provides coverage for cancer chemotherapy treatment must provide coverage for prescribed, self-administered anticancer medication that is used to kill or slow the growth of cancerous cells on a basis at least comparable to cancer chemotherapy medications administered by a health care provider or facility as defined in RCW 48.43.005 </w:t>
      </w:r>
      <w:r>
        <w:t>((</w:t>
      </w:r>
      <w:r>
        <w:rPr>
          <w:strike/>
        </w:rPr>
        <w:t xml:space="preserve">(15) and (16)</w:t>
      </w:r>
      <w:r>
        <w:t>))</w:t>
      </w:r>
      <w:r>
        <w:rPr/>
        <w:t xml:space="preserve"> </w:t>
      </w:r>
      <w:r>
        <w:rPr>
          <w:u w:val="single"/>
        </w:rPr>
        <w:t xml:space="preserve">(25) and (26)</w:t>
      </w:r>
      <w:r>
        <w:rPr/>
        <w:t xml:space="preserve">.</w:t>
      </w:r>
    </w:p>
    <w:p>
      <w:pPr>
        <w:spacing w:before="0" w:after="0" w:line="408" w:lineRule="exact"/>
        <w:ind w:left="0" w:right="0" w:firstLine="576"/>
        <w:jc w:val="left"/>
      </w:pPr>
      <w:r>
        <w:rPr/>
        <w:t xml:space="preserve">(2) Nothing in this section may be interpreted to prohibit a health plan from administering a formulary or preferred drug list, requiring prior authorization, or imposing other appropriate utilization controls in approving coverage for any chemotherapy.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025</w:t>
      </w:r>
      <w:r>
        <w:rPr/>
        <w:t xml:space="preserve"> and 1995 c 301 s 2 are each amended to read as follows:</w:t>
      </w:r>
    </w:p>
    <w:p>
      <w:pPr>
        <w:spacing w:before="0" w:after="0" w:line="408" w:lineRule="exact"/>
        <w:ind w:left="0" w:right="0" w:firstLine="576"/>
        <w:jc w:val="left"/>
      </w:pPr>
      <w:r>
        <w:rPr/>
        <w:t xml:space="preserve">The state auditor may appoint deputies and assistant directors as necessary to carry out the duties of the office of the state auditor. These individuals serve at the pleasure of the state auditor and are exempt from the provisions of chapter 41.06 RCW as stated in RCW 41.06.070(1)</w:t>
      </w:r>
      <w:r>
        <w:t>((</w:t>
      </w:r>
      <w:r>
        <w:rPr>
          <w:strike/>
        </w:rPr>
        <w:t xml:space="preserve">(y)</w:t>
      </w:r>
      <w:r>
        <w:t>))</w:t>
      </w:r>
      <w:r>
        <w:rPr/>
        <w:t xml:space="preserve"> </w:t>
      </w:r>
      <w:r>
        <w:rPr>
          <w:u w:val="single"/>
        </w:rPr>
        <w:t xml:space="preserve">(v)</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255</w:t>
      </w:r>
      <w:r>
        <w:rPr/>
        <w:t xml:space="preserve"> and 2011 c 171 s 71 are each amended to read as follows:</w:t>
      </w:r>
    </w:p>
    <w:p>
      <w:pPr>
        <w:spacing w:before="0" w:after="0" w:line="408" w:lineRule="exact"/>
        <w:ind w:left="0" w:right="0" w:firstLine="576"/>
        <w:jc w:val="left"/>
      </w:pPr>
      <w:r>
        <w:rPr/>
        <w:t xml:space="preserve">(1) A registered owner may apply to the department, county auditor or other agent, or subagent appointed by the director for a horseless carriage license plate for a motor vehicle that is at least forty years old. The motor vehicle must be operated primarily as a collector vehicle and be in good running order. The applicant for the horseless carriage license plate shall:</w:t>
      </w:r>
    </w:p>
    <w:p>
      <w:pPr>
        <w:spacing w:before="0" w:after="0" w:line="408" w:lineRule="exact"/>
        <w:ind w:left="0" w:right="0" w:firstLine="576"/>
        <w:jc w:val="left"/>
      </w:pPr>
      <w:r>
        <w:rPr/>
        <w:t xml:space="preserve">(a) Purchase a registration for the motor vehicle as required under chapters 46.16A and 46.17 RCW; and</w:t>
      </w:r>
    </w:p>
    <w:p>
      <w:pPr>
        <w:spacing w:before="0" w:after="0" w:line="408" w:lineRule="exact"/>
        <w:ind w:left="0" w:right="0" w:firstLine="576"/>
        <w:jc w:val="left"/>
      </w:pPr>
      <w:r>
        <w:rPr/>
        <w:t xml:space="preserve">(b) Pay the special license plate fee established under RCW 46.17.220</w:t>
      </w:r>
      <w:r>
        <w:t>((</w:t>
      </w:r>
      <w:r>
        <w:rPr>
          <w:strike/>
        </w:rPr>
        <w:t xml:space="preserve">(1)(i)</w:t>
      </w:r>
      <w:r>
        <w:t>))</w:t>
      </w:r>
      <w:r>
        <w:rPr/>
        <w:t xml:space="preserve"> </w:t>
      </w:r>
      <w:r>
        <w:rPr>
          <w:u w:val="single"/>
        </w:rPr>
        <w:t xml:space="preserve">(11)</w:t>
      </w:r>
      <w:r>
        <w:rPr/>
        <w:t xml:space="preserve">, in addition to any other fees or taxes required by law.</w:t>
      </w:r>
    </w:p>
    <w:p>
      <w:pPr>
        <w:spacing w:before="0" w:after="0" w:line="408" w:lineRule="exact"/>
        <w:ind w:left="0" w:right="0" w:firstLine="576"/>
        <w:jc w:val="left"/>
      </w:pPr>
      <w:r>
        <w:rPr/>
        <w:t xml:space="preserve">(2) Horseless carriage license plates:</w:t>
      </w:r>
    </w:p>
    <w:p>
      <w:pPr>
        <w:spacing w:before="0" w:after="0" w:line="408" w:lineRule="exact"/>
        <w:ind w:left="0" w:right="0" w:firstLine="576"/>
        <w:jc w:val="left"/>
      </w:pPr>
      <w:r>
        <w:rPr/>
        <w:t xml:space="preserve">(a) Are valid for the life of the motor vehicle;</w:t>
      </w:r>
    </w:p>
    <w:p>
      <w:pPr>
        <w:spacing w:before="0" w:after="0" w:line="408" w:lineRule="exact"/>
        <w:ind w:left="0" w:right="0" w:firstLine="576"/>
        <w:jc w:val="left"/>
      </w:pPr>
      <w:r>
        <w:rPr/>
        <w:t xml:space="preserve">(b) Are not required to be renewed;</w:t>
      </w:r>
    </w:p>
    <w:p>
      <w:pPr>
        <w:spacing w:before="0" w:after="0" w:line="408" w:lineRule="exact"/>
        <w:ind w:left="0" w:right="0" w:firstLine="576"/>
        <w:jc w:val="left"/>
      </w:pPr>
      <w:r>
        <w:rPr/>
        <w:t xml:space="preserve">(c) Are not transferable to any other motor vehicle; and</w:t>
      </w:r>
    </w:p>
    <w:p>
      <w:pPr>
        <w:spacing w:before="0" w:after="0" w:line="408" w:lineRule="exact"/>
        <w:ind w:left="0" w:right="0" w:firstLine="576"/>
        <w:jc w:val="left"/>
      </w:pPr>
      <w:r>
        <w:rPr/>
        <w:t xml:space="preserve">(d) Must be displayed on the rear of the motor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265</w:t>
      </w:r>
      <w:r>
        <w:rPr/>
        <w:t xml:space="preserve"> and 2010 c 161 s 624 are each amended to read as follows:</w:t>
      </w:r>
    </w:p>
    <w:p>
      <w:pPr>
        <w:spacing w:before="0" w:after="0" w:line="408" w:lineRule="exact"/>
        <w:ind w:left="0" w:right="0" w:firstLine="576"/>
        <w:jc w:val="left"/>
      </w:pPr>
      <w:r>
        <w:rPr/>
        <w:t xml:space="preserve">(1) A registered owner who has a valid military affiliate radio system station license may apply to the department for special license plates for use on only one motor vehicle owned by the qualified applicant. The applicant must:</w:t>
      </w:r>
    </w:p>
    <w:p>
      <w:pPr>
        <w:spacing w:before="0" w:after="0" w:line="408" w:lineRule="exact"/>
        <w:ind w:left="0" w:right="0" w:firstLine="576"/>
        <w:jc w:val="left"/>
      </w:pPr>
      <w:r>
        <w:rPr/>
        <w:t xml:space="preserve">(a) Be a resident of this state;</w:t>
      </w:r>
    </w:p>
    <w:p>
      <w:pPr>
        <w:spacing w:before="0" w:after="0" w:line="408" w:lineRule="exact"/>
        <w:ind w:left="0" w:right="0" w:firstLine="576"/>
        <w:jc w:val="left"/>
      </w:pPr>
      <w:r>
        <w:rPr/>
        <w:t xml:space="preserve">(b) Provide a copy of the current official military affiliate radio system station license authorized by the department of defense and issued by the United States army, air force, navy, or marine corps;</w:t>
      </w:r>
    </w:p>
    <w:p>
      <w:pPr>
        <w:spacing w:before="0" w:after="0" w:line="408" w:lineRule="exact"/>
        <w:ind w:left="0" w:right="0" w:firstLine="576"/>
        <w:jc w:val="left"/>
      </w:pPr>
      <w:r>
        <w:rPr/>
        <w:t xml:space="preserve">(c) Be recorded as the registered owner of the motor vehicle on which the military affiliate radio system license plates will be displayed; and</w:t>
      </w:r>
    </w:p>
    <w:p>
      <w:pPr>
        <w:spacing w:before="0" w:after="0" w:line="408" w:lineRule="exact"/>
        <w:ind w:left="0" w:right="0" w:firstLine="576"/>
        <w:jc w:val="left"/>
      </w:pPr>
      <w:r>
        <w:rPr/>
        <w:t xml:space="preserve">(d) Pay the military affiliate radio system license plate fee required under RCW 46.17.220</w:t>
      </w:r>
      <w:r>
        <w:t>((</w:t>
      </w:r>
      <w:r>
        <w:rPr>
          <w:strike/>
        </w:rPr>
        <w:t xml:space="preserve">(1)(l)</w:t>
      </w:r>
      <w:r>
        <w:t>))</w:t>
      </w:r>
      <w:r>
        <w:rPr/>
        <w:t xml:space="preserve"> </w:t>
      </w:r>
      <w:r>
        <w:rPr>
          <w:u w:val="single"/>
        </w:rPr>
        <w:t xml:space="preserve">(14)</w:t>
      </w:r>
      <w:r>
        <w:rPr/>
        <w:t xml:space="preserve">, in addition to any other fees or taxes required by law.</w:t>
      </w:r>
    </w:p>
    <w:p>
      <w:pPr>
        <w:spacing w:before="0" w:after="0" w:line="408" w:lineRule="exact"/>
        <w:ind w:left="0" w:right="0" w:firstLine="576"/>
        <w:jc w:val="left"/>
      </w:pPr>
      <w:r>
        <w:rPr/>
        <w:t xml:space="preserve">(2) A person who has been issued military affiliate radio system license plates as provided in this section must:</w:t>
      </w:r>
    </w:p>
    <w:p>
      <w:pPr>
        <w:spacing w:before="0" w:after="0" w:line="408" w:lineRule="exact"/>
        <w:ind w:left="0" w:right="0" w:firstLine="576"/>
        <w:jc w:val="left"/>
      </w:pPr>
      <w:r>
        <w:rPr/>
        <w:t xml:space="preserve">(a) Notify the department if the military affiliate radio system station license assigned is canceled or expires; and</w:t>
      </w:r>
    </w:p>
    <w:p>
      <w:pPr>
        <w:spacing w:before="0" w:after="0" w:line="408" w:lineRule="exact"/>
        <w:ind w:left="0" w:right="0" w:firstLine="576"/>
        <w:jc w:val="left"/>
      </w:pPr>
      <w:r>
        <w:rPr/>
        <w:t xml:space="preserve">(b) Provide a copy of the renewed military affiliate radio system station license to the department when it is renewed.</w:t>
      </w:r>
    </w:p>
    <w:p>
      <w:pPr>
        <w:spacing w:before="0" w:after="0" w:line="408" w:lineRule="exact"/>
        <w:ind w:left="0" w:right="0" w:firstLine="576"/>
        <w:jc w:val="left"/>
      </w:pPr>
      <w:r>
        <w:rPr/>
        <w:t xml:space="preserve">(3) Military affiliate radio system license plates:</w:t>
      </w:r>
    </w:p>
    <w:p>
      <w:pPr>
        <w:spacing w:before="0" w:after="0" w:line="408" w:lineRule="exact"/>
        <w:ind w:left="0" w:right="0" w:firstLine="576"/>
        <w:jc w:val="left"/>
      </w:pPr>
      <w:r>
        <w:rPr/>
        <w:t xml:space="preserve">(a) Are not available for motorcycles; and</w:t>
      </w:r>
    </w:p>
    <w:p>
      <w:pPr>
        <w:spacing w:before="0" w:after="0" w:line="408" w:lineRule="exact"/>
        <w:ind w:left="0" w:right="0" w:firstLine="576"/>
        <w:jc w:val="left"/>
      </w:pPr>
      <w:r>
        <w:rPr/>
        <w:t xml:space="preserve">(b) May be transferred from one motor vehicle to another motor vehicle owned by the military affiliate radio system operator upon application to the department, county auditor or other agent, or subagent appointed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285</w:t>
      </w:r>
      <w:r>
        <w:rPr/>
        <w:t xml:space="preserve"> and 2011 c 171 s 72 are each amended to read as follows:</w:t>
      </w:r>
    </w:p>
    <w:p>
      <w:pPr>
        <w:spacing w:before="0" w:after="0" w:line="408" w:lineRule="exact"/>
        <w:ind w:left="0" w:right="0" w:firstLine="576"/>
        <w:jc w:val="left"/>
      </w:pPr>
      <w:r>
        <w:rPr/>
        <w:t xml:space="preserve">(1) A registered owner who uses a passenger motor vehicle for commuter ride sharing or ride sharing for persons with special transportation needs, as defined in RCW 46.74.010, shall apply to the department, county auditor or other agent, or subagent appointed by the director for special ride share license plates. The registered owner must qualify for the tax exemptions provided in RCW 82.08.0287, 82.12.0282, or 82.44.015, and pay the special ride share license plate fee required under RCW 46.17.220</w:t>
      </w:r>
      <w:r>
        <w:t>((</w:t>
      </w:r>
      <w:r>
        <w:rPr>
          <w:strike/>
        </w:rPr>
        <w:t xml:space="preserve">(1)(n)</w:t>
      </w:r>
      <w:r>
        <w:t>))</w:t>
      </w:r>
      <w:r>
        <w:rPr/>
        <w:t xml:space="preserve"> </w:t>
      </w:r>
      <w:r>
        <w:rPr>
          <w:u w:val="single"/>
        </w:rPr>
        <w:t xml:space="preserve">(18)</w:t>
      </w:r>
      <w:r>
        <w:rPr/>
        <w:t xml:space="preserve"> when the special ride share license plates are initially issued.</w:t>
      </w:r>
    </w:p>
    <w:p>
      <w:pPr>
        <w:spacing w:before="0" w:after="0" w:line="408" w:lineRule="exact"/>
        <w:ind w:left="0" w:right="0" w:firstLine="576"/>
        <w:jc w:val="left"/>
      </w:pPr>
      <w:r>
        <w:rPr/>
        <w:t xml:space="preserve">(2) The special ride share license plates:</w:t>
      </w:r>
    </w:p>
    <w:p>
      <w:pPr>
        <w:spacing w:before="0" w:after="0" w:line="408" w:lineRule="exact"/>
        <w:ind w:left="0" w:right="0" w:firstLine="576"/>
        <w:jc w:val="left"/>
      </w:pPr>
      <w:r>
        <w:rPr/>
        <w:t xml:space="preserve">(a) Must be of a distinguishing separate numerical series or design as defined by the department;</w:t>
      </w:r>
    </w:p>
    <w:p>
      <w:pPr>
        <w:spacing w:before="0" w:after="0" w:line="408" w:lineRule="exact"/>
        <w:ind w:left="0" w:right="0" w:firstLine="576"/>
        <w:jc w:val="left"/>
      </w:pPr>
      <w:r>
        <w:rPr/>
        <w:t xml:space="preserve">(b) Must be returned to the department when no longer in use or when the registered owner no longer qualifies for the tax exemptions provided in subsection (1) of this section; and</w:t>
      </w:r>
    </w:p>
    <w:p>
      <w:pPr>
        <w:spacing w:before="0" w:after="0" w:line="408" w:lineRule="exact"/>
        <w:ind w:left="0" w:right="0" w:firstLine="576"/>
        <w:jc w:val="left"/>
      </w:pPr>
      <w:r>
        <w:rPr/>
        <w:t xml:space="preserve">(c) Are not required to be renewed annually for motor vehicles described in RCW 46.16A.170.</w:t>
      </w:r>
    </w:p>
    <w:p>
      <w:pPr>
        <w:spacing w:before="0" w:after="0" w:line="408" w:lineRule="exact"/>
        <w:ind w:left="0" w:right="0" w:firstLine="576"/>
        <w:jc w:val="left"/>
      </w:pPr>
      <w:r>
        <w:rPr/>
        <w:t xml:space="preserve">(3) Special ride share license plates may be transferred from one motor vehicle to another motor vehicle as described in subsection (1) of this section upon application to the department, county auditor or other agent, or subagent appointed by the director.</w:t>
      </w:r>
    </w:p>
    <w:p>
      <w:pPr>
        <w:spacing w:before="0" w:after="0" w:line="408" w:lineRule="exact"/>
        <w:ind w:left="0" w:right="0" w:firstLine="576"/>
        <w:jc w:val="left"/>
      </w:pPr>
      <w:r>
        <w:rPr/>
        <w:t xml:space="preserve">(4) Any person who knowingly makes a false statement of a material fact in the application for a special license plate under subsection (1) of this section is guilty of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290</w:t>
      </w:r>
      <w:r>
        <w:rPr/>
        <w:t xml:space="preserve"> and 2011 c 332 s 9 are each amended to read as follows:</w:t>
      </w:r>
    </w:p>
    <w:p>
      <w:pPr>
        <w:spacing w:before="0" w:after="0" w:line="408" w:lineRule="exact"/>
        <w:ind w:left="0" w:right="0" w:firstLine="576"/>
        <w:jc w:val="left"/>
      </w:pPr>
      <w:r>
        <w:rPr/>
        <w:t xml:space="preserve">A registered owner may apply to the department, county auditor or other agent, or subagent appointed by the director for a square dancer license plate. The registered owner shall pay the special license plate fee required under RCW 46.17.220</w:t>
      </w:r>
      <w:r>
        <w:t>((</w:t>
      </w:r>
      <w:r>
        <w:rPr>
          <w:strike/>
        </w:rPr>
        <w:t xml:space="preserve">(1)(q)</w:t>
      </w:r>
      <w:r>
        <w:t>))</w:t>
      </w:r>
      <w:r>
        <w:rPr/>
        <w:t xml:space="preserve"> </w:t>
      </w:r>
      <w:r>
        <w:rPr>
          <w:u w:val="single"/>
        </w:rPr>
        <w:t xml:space="preserve">(27)</w:t>
      </w:r>
      <w:r>
        <w:rPr/>
        <w:t xml:space="preserve">, in addition to any other fee or tax required by law. The square dancer license plate may be issued in lieu of standard issue or personalized license plates for motor vehicles required to display one or two license plates, but may not be issued for vehicles registered under chapter 46.87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w:t>
      </w:r>
      <w:r>
        <w:rPr/>
        <w:t xml:space="preserve">.</w:t>
      </w:r>
      <w:r>
        <w:t xml:space="preserve">389</w:t>
      </w:r>
      <w:r>
        <w:rPr/>
        <w:t xml:space="preserve"> and 2011 c 159 s 3 are each amended to read as follows:</w:t>
      </w:r>
    </w:p>
    <w:p>
      <w:pPr>
        <w:spacing w:before="0" w:after="0" w:line="408" w:lineRule="exact"/>
        <w:ind w:left="0" w:right="0" w:firstLine="576"/>
        <w:jc w:val="left"/>
      </w:pPr>
      <w:r>
        <w:rPr/>
        <w:t xml:space="preserve">(1) Each health plan issued or renewed on or after January 1, 2012, that provides coverage for cancer chemotherapy treatment must provide coverage for prescribed, self-administered anticancer medication that is used to kill or slow the growth of cancerous cells on a basis at least comparable to cancer chemotherapy medications administered by a health care provider or facility as defined in RCW 48.43.005 </w:t>
      </w:r>
      <w:r>
        <w:t>((</w:t>
      </w:r>
      <w:r>
        <w:rPr>
          <w:strike/>
        </w:rPr>
        <w:t xml:space="preserve">(15) and (16)</w:t>
      </w:r>
      <w:r>
        <w:t>))</w:t>
      </w:r>
      <w:r>
        <w:rPr/>
        <w:t xml:space="preserve"> </w:t>
      </w:r>
      <w:r>
        <w:rPr>
          <w:u w:val="single"/>
        </w:rPr>
        <w:t xml:space="preserve">(25) and (26)</w:t>
      </w:r>
      <w:r>
        <w:rPr/>
        <w:t xml:space="preserve">.</w:t>
      </w:r>
    </w:p>
    <w:p>
      <w:pPr>
        <w:spacing w:before="0" w:after="0" w:line="408" w:lineRule="exact"/>
        <w:ind w:left="0" w:right="0" w:firstLine="576"/>
        <w:jc w:val="left"/>
      </w:pPr>
      <w:r>
        <w:rPr/>
        <w:t xml:space="preserve">(2) Nothing in this section may be interpreted to prohibit a health plan from administering a formulary or preferred drug list, requiring prior authorization, or imposing other appropriate utilization controls in approving coverage for any chemotherapy.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223</w:t>
      </w:r>
      <w:r>
        <w:rPr/>
        <w:t xml:space="preserve"> and 2011 c 159 s 4 are each amended to read as follows:</w:t>
      </w:r>
    </w:p>
    <w:p>
      <w:pPr>
        <w:spacing w:before="0" w:after="0" w:line="408" w:lineRule="exact"/>
        <w:ind w:left="0" w:right="0" w:firstLine="576"/>
        <w:jc w:val="left"/>
      </w:pPr>
      <w:r>
        <w:rPr/>
        <w:t xml:space="preserve">(1) Each health plan issued or renewed on or after January 1, 2012, that provides coverage for cancer chemotherapy treatment must provide coverage for prescribed, self-administered anticancer medication that is used to kill or slow the growth of cancerous cells on a basis at least comparable to cancer chemotherapy medications administered by a health care provider or facility as defined in RCW 48.43.005 </w:t>
      </w:r>
      <w:r>
        <w:t>((</w:t>
      </w:r>
      <w:r>
        <w:rPr>
          <w:strike/>
        </w:rPr>
        <w:t xml:space="preserve">(15) and (16)</w:t>
      </w:r>
      <w:r>
        <w:t>))</w:t>
      </w:r>
      <w:r>
        <w:rPr/>
        <w:t xml:space="preserve"> </w:t>
      </w:r>
      <w:r>
        <w:rPr>
          <w:u w:val="single"/>
        </w:rPr>
        <w:t xml:space="preserve">(25) and (26)</w:t>
      </w:r>
      <w:r>
        <w:rPr/>
        <w:t xml:space="preserve">.</w:t>
      </w:r>
    </w:p>
    <w:p>
      <w:pPr>
        <w:spacing w:before="0" w:after="0" w:line="408" w:lineRule="exact"/>
        <w:ind w:left="0" w:right="0" w:firstLine="576"/>
        <w:jc w:val="left"/>
      </w:pPr>
      <w:r>
        <w:rPr/>
        <w:t xml:space="preserve">(2) Nothing in this section may be interpreted to prohibit a health plan from administering a formulary or preferred drug list, requiring prior authorization, or imposing other appropriate utilization controls in approving coverage for any chemotherapy.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323</w:t>
      </w:r>
      <w:r>
        <w:rPr/>
        <w:t xml:space="preserve"> and 2011 c 159 s 5 are each amended to read as follows:</w:t>
      </w:r>
    </w:p>
    <w:p>
      <w:pPr>
        <w:spacing w:before="0" w:after="0" w:line="408" w:lineRule="exact"/>
        <w:ind w:left="0" w:right="0" w:firstLine="576"/>
        <w:jc w:val="left"/>
      </w:pPr>
      <w:r>
        <w:rPr/>
        <w:t xml:space="preserve">(1) Each health plan issued or renewed on or after January 1, 2012, that provides coverage for cancer chemotherapy treatment must provide coverage for prescribed, self-administered anticancer medication that is used to kill or slow the growth of cancerous cells on a basis at least comparable to cancer chemotherapy medications administered by a health care provider or facility as defined in RCW 48.43.005 </w:t>
      </w:r>
      <w:r>
        <w:t>((</w:t>
      </w:r>
      <w:r>
        <w:rPr>
          <w:strike/>
        </w:rPr>
        <w:t xml:space="preserve">(15) and (16)</w:t>
      </w:r>
      <w:r>
        <w:t>))</w:t>
      </w:r>
      <w:r>
        <w:rPr/>
        <w:t xml:space="preserve"> </w:t>
      </w:r>
      <w:r>
        <w:rPr>
          <w:u w:val="single"/>
        </w:rPr>
        <w:t xml:space="preserve">(25) and (26)</w:t>
      </w:r>
      <w:r>
        <w:rPr/>
        <w:t xml:space="preserve">.</w:t>
      </w:r>
    </w:p>
    <w:p>
      <w:pPr>
        <w:spacing w:before="0" w:after="0" w:line="408" w:lineRule="exact"/>
        <w:ind w:left="0" w:right="0" w:firstLine="576"/>
        <w:jc w:val="left"/>
      </w:pPr>
      <w:r>
        <w:rPr/>
        <w:t xml:space="preserve">(2) Nothing in this section may be interpreted to prohibit a health plan from administering a formulary or preferred drug list, requiring prior authorization, or imposing other appropriate utilization controls in approving coverage for any chemotherapy.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274</w:t>
      </w:r>
      <w:r>
        <w:rPr/>
        <w:t xml:space="preserve"> and 2011 c 159 s 6 are each amended to read as follows:</w:t>
      </w:r>
    </w:p>
    <w:p>
      <w:pPr>
        <w:spacing w:before="0" w:after="0" w:line="408" w:lineRule="exact"/>
        <w:ind w:left="0" w:right="0" w:firstLine="576"/>
        <w:jc w:val="left"/>
      </w:pPr>
      <w:r>
        <w:rPr/>
        <w:t xml:space="preserve">(1) Each health plan issued or renewed on or after January 1, 2012, that provides coverage for cancer chemotherapy treatment must provide coverage for prescribed, self-administered anticancer medication that is used to kill or slow the growth of cancerous cells on a basis at least comparable to cancer chemotherapy medications administered by a health care provider or facility as defined in RCW 48.43.005 </w:t>
      </w:r>
      <w:r>
        <w:t>((</w:t>
      </w:r>
      <w:r>
        <w:rPr>
          <w:strike/>
        </w:rPr>
        <w:t xml:space="preserve">(15) and (16)</w:t>
      </w:r>
      <w:r>
        <w:t>))</w:t>
      </w:r>
      <w:r>
        <w:rPr/>
        <w:t xml:space="preserve"> </w:t>
      </w:r>
      <w:r>
        <w:rPr>
          <w:u w:val="single"/>
        </w:rPr>
        <w:t xml:space="preserve">(25) and (26)</w:t>
      </w:r>
      <w:r>
        <w:rPr/>
        <w:t xml:space="preserve">.</w:t>
      </w:r>
    </w:p>
    <w:p>
      <w:pPr>
        <w:spacing w:before="0" w:after="0" w:line="408" w:lineRule="exact"/>
        <w:ind w:left="0" w:right="0" w:firstLine="576"/>
        <w:jc w:val="left"/>
      </w:pPr>
      <w:r>
        <w:rPr/>
        <w:t xml:space="preserve">(2) Nothing in this section may be interpreted to prohibit a health plan from administering a formulary or preferred drug list, requiring prior authorization, or imposing other appropriate utilization controls in approving coverage for any chemotherapy.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50</w:t>
      </w:r>
      <w:r>
        <w:rPr/>
        <w:t xml:space="preserve">.</w:t>
      </w:r>
      <w:r>
        <w:t xml:space="preserve">010</w:t>
      </w:r>
      <w:r>
        <w:rPr/>
        <w:t xml:space="preserve"> and 2002 c 323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"Action" means any civil lawsuit or action in contract or tort for damages or indemnity brought against a construction professional to assert a claim, whether by complaint, counterclaim, or cross-claim, for damage or the loss of use of real or personal property caused by a defect in the construction of a residence or in the substantial remodel of a residence. "Action" does not include any civil action in tort alleging personal injury or wrongful death to a person or persons resulting from a construction defect.</w:t>
      </w:r>
    </w:p>
    <w:p>
      <w:pPr>
        <w:spacing w:before="0" w:after="0" w:line="408" w:lineRule="exact"/>
        <w:ind w:left="0" w:right="0" w:firstLine="576"/>
        <w:jc w:val="left"/>
      </w:pPr>
      <w:r>
        <w:rPr/>
        <w:t xml:space="preserve">(2) "Association" means an association, master association, or subassociation as defined and provided for in RCW 64.34.020(4), 64.34.276, 64.34.278, and 64.38.010</w:t>
      </w:r>
      <w:r>
        <w:t>((</w:t>
      </w:r>
      <w:r>
        <w:rPr>
          <w:strike/>
        </w:rPr>
        <w:t xml:space="preserve">(1)</w:t>
      </w:r>
      <w:r>
        <w:t>))</w:t>
      </w:r>
      <w:r>
        <w:rPr/>
        <w:t xml:space="preserve"> </w:t>
      </w:r>
      <w:r>
        <w:rPr>
          <w:u w:val="single"/>
        </w:rPr>
        <w:t xml:space="preserve">(11)</w:t>
      </w:r>
      <w:r>
        <w:rPr/>
        <w:t xml:space="preserve">.</w:t>
      </w:r>
    </w:p>
    <w:p>
      <w:pPr>
        <w:spacing w:before="0" w:after="0" w:line="408" w:lineRule="exact"/>
        <w:ind w:left="0" w:right="0" w:firstLine="576"/>
        <w:jc w:val="left"/>
      </w:pPr>
      <w:r>
        <w:rPr/>
        <w:t xml:space="preserve">(3) "Claimant" means a homeowner or association who asserts a claim against a construction professional concerning a defect in the construction of a residence or in the substantial remodel of a residence.</w:t>
      </w:r>
    </w:p>
    <w:p>
      <w:pPr>
        <w:spacing w:before="0" w:after="0" w:line="408" w:lineRule="exact"/>
        <w:ind w:left="0" w:right="0" w:firstLine="576"/>
        <w:jc w:val="left"/>
      </w:pPr>
      <w:r>
        <w:rPr/>
        <w:t xml:space="preserve">(4) "Construction professional" means an architect, builder, builder vendor, contractor, subcontractor, engineer, or inspector, including, but not limited to, a dealer as defined in RCW 64.34.020</w:t>
      </w:r>
      <w:r>
        <w:t>((</w:t>
      </w:r>
      <w:r>
        <w:rPr>
          <w:strike/>
        </w:rPr>
        <w:t xml:space="preserve">(12)</w:t>
      </w:r>
      <w:r>
        <w:t>))</w:t>
      </w:r>
      <w:r>
        <w:rPr/>
        <w:t xml:space="preserve"> and a declarant as defined in RCW 64.34.020</w:t>
      </w:r>
      <w:r>
        <w:t>((</w:t>
      </w:r>
      <w:r>
        <w:rPr>
          <w:strike/>
        </w:rPr>
        <w:t xml:space="preserve">(13)</w:t>
      </w:r>
      <w:r>
        <w:t>))</w:t>
      </w:r>
      <w:r>
        <w:rPr/>
        <w:t xml:space="preserve">, performing or furnishing the design, supervision, inspection, construction, or observation of the construction of any improvement to real property, whether operating as a sole proprietor, partnership, corporation, or other business entity.</w:t>
      </w:r>
    </w:p>
    <w:p>
      <w:pPr>
        <w:spacing w:before="0" w:after="0" w:line="408" w:lineRule="exact"/>
        <w:ind w:left="0" w:right="0" w:firstLine="576"/>
        <w:jc w:val="left"/>
      </w:pPr>
      <w:r>
        <w:rPr/>
        <w:t xml:space="preserve">(5) "Homeowner" means: (a) Any person, company, firm, partnership, corporation, or association who contracts with a construction professional for the construction, sale, or construction and sale of a residence; and (b) an "association" as defined in this section. "Homeowner" includes, but is not limited to, a subsequent purchaser of a residence from any homeowner.</w:t>
      </w:r>
    </w:p>
    <w:p>
      <w:pPr>
        <w:spacing w:before="0" w:after="0" w:line="408" w:lineRule="exact"/>
        <w:ind w:left="0" w:right="0" w:firstLine="576"/>
        <w:jc w:val="left"/>
      </w:pPr>
      <w:r>
        <w:rPr/>
        <w:t xml:space="preserve">(6) "Residence" means a single-family house, duplex, triplex, quadraplex, or a unit in a multiunit residential structure in which title to each individual unit is transferred to the owner under a condominium or cooperative system, and shall include common elements as defined in RCW 64.34.020</w:t>
      </w:r>
      <w:r>
        <w:t>((</w:t>
      </w:r>
      <w:r>
        <w:rPr>
          <w:strike/>
        </w:rPr>
        <w:t xml:space="preserve">(6)</w:t>
      </w:r>
      <w:r>
        <w:t>))</w:t>
      </w:r>
      <w:r>
        <w:rPr/>
        <w:t xml:space="preserve"> and common areas as defined in RCW 64.38.010(4).</w:t>
      </w:r>
    </w:p>
    <w:p>
      <w:pPr>
        <w:spacing w:before="0" w:after="0" w:line="408" w:lineRule="exact"/>
        <w:ind w:left="0" w:right="0" w:firstLine="576"/>
        <w:jc w:val="left"/>
      </w:pPr>
      <w:r>
        <w:rPr/>
        <w:t xml:space="preserve">(7) "Serve" or "service" means personal service or delivery by certified mail to the last known address of the addressee.</w:t>
      </w:r>
    </w:p>
    <w:p>
      <w:pPr>
        <w:spacing w:before="0" w:after="0" w:line="408" w:lineRule="exact"/>
        <w:ind w:left="0" w:right="0" w:firstLine="576"/>
        <w:jc w:val="left"/>
      </w:pPr>
      <w:r>
        <w:rPr/>
        <w:t xml:space="preserve">(8) "Substantial remodel" means a remodel of a residence, for which the total cost exceeds one-half of the assessed value of the residence for property tax purposes at the time the contract for the remodel work was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414</w:t>
      </w:r>
      <w:r>
        <w:rPr/>
        <w:t xml:space="preserve"> and 1986 c 124 s 10 are each amended to read as follows:</w:t>
      </w:r>
    </w:p>
    <w:p>
      <w:pPr>
        <w:spacing w:before="0" w:after="0" w:line="408" w:lineRule="exact"/>
        <w:ind w:left="0" w:right="0" w:firstLine="576"/>
        <w:jc w:val="left"/>
      </w:pPr>
      <w:r>
        <w:rPr/>
        <w:t xml:space="preserve">The parent or legal guardian of any minor to whom a controlled substance, as defined in RCW 69.50.101, is sold or transferred, shall have a cause of action against the person who sold or transferred the controlled substance for all damages to the minor or his or her parent or legal guardian caused by such sale or transfer. Damages shall include: (a) Actual damages, including the cost for treatment or rehabilitation of the minor child's drug dependency, (b) forfeiture to the parent or legal guardian of the cash value of any proceeds received from such sale or transfer of a controlled substance, and (c) reasonable attorney fees.</w:t>
      </w:r>
    </w:p>
    <w:p>
      <w:pPr>
        <w:spacing w:before="0" w:after="0" w:line="408" w:lineRule="exact"/>
        <w:ind w:left="0" w:right="0" w:firstLine="576"/>
        <w:jc w:val="left"/>
      </w:pPr>
      <w:r>
        <w:rPr/>
        <w:t xml:space="preserve">This section shall not apply to a practitioner, as defined in RCW 69.50.101</w:t>
      </w:r>
      <w:r>
        <w:t>((</w:t>
      </w:r>
      <w:r>
        <w:rPr>
          <w:strike/>
        </w:rPr>
        <w:t xml:space="preserve">(t)</w:t>
      </w:r>
      <w:r>
        <w:t>))</w:t>
      </w:r>
      <w:r>
        <w:rPr/>
        <w:t xml:space="preserve">, who sells or transfers a controlled substance to a minor pursuant to a valid prescription or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52</w:t>
      </w:r>
      <w:r>
        <w:rPr/>
        <w:t xml:space="preserve">.</w:t>
      </w:r>
      <w:r>
        <w:t xml:space="preserve">030</w:t>
      </w:r>
      <w:r>
        <w:rPr/>
        <w:t xml:space="preserve"> and 1983 1st ex.s. c 4 s 5 are each amended to read as follows:</w:t>
      </w:r>
    </w:p>
    <w:p>
      <w:pPr>
        <w:spacing w:before="0" w:after="0" w:line="408" w:lineRule="exact"/>
        <w:ind w:left="0" w:right="0" w:firstLine="576"/>
        <w:jc w:val="left"/>
      </w:pPr>
      <w:r>
        <w:rPr/>
        <w:t xml:space="preserve">(1) It is unlawful for any person to manufacture, distribute, or possess with intent to distribute, an imitation controlled substance. Any person who violates this subsection shall, upon conviction, be guilty of a class C felony.</w:t>
      </w:r>
    </w:p>
    <w:p>
      <w:pPr>
        <w:spacing w:before="0" w:after="0" w:line="408" w:lineRule="exact"/>
        <w:ind w:left="0" w:right="0" w:firstLine="576"/>
        <w:jc w:val="left"/>
      </w:pPr>
      <w:r>
        <w:rPr/>
        <w:t xml:space="preserve">(2) Any person eighteen years of age or over who violates subsection (1) of this section by distributing an imitation controlled substance to a person under eighteen years of age is guilty of a class B felony.</w:t>
      </w:r>
    </w:p>
    <w:p>
      <w:pPr>
        <w:spacing w:before="0" w:after="0" w:line="408" w:lineRule="exact"/>
        <w:ind w:left="0" w:right="0" w:firstLine="576"/>
        <w:jc w:val="left"/>
      </w:pPr>
      <w:r>
        <w:rPr/>
        <w:t xml:space="preserve">(3) It is unlawful for any person to cause to be placed in any newspaper, magazine, handbill, or other publication, or to post or distribute in any public place, any advertisement or solicitation offering for sale imitation controlled substances. Any person who violates this subsection is guilty of a class C felony.</w:t>
      </w:r>
    </w:p>
    <w:p>
      <w:pPr>
        <w:spacing w:before="0" w:after="0" w:line="408" w:lineRule="exact"/>
        <w:ind w:left="0" w:right="0" w:firstLine="576"/>
        <w:jc w:val="left"/>
      </w:pPr>
      <w:r>
        <w:rPr/>
        <w:t xml:space="preserve">(4) No civil or criminal liability shall be imposed by virtue of this chapter on any person registered under the Uniform Controlled Substances Act pursuant to RCW 69.50.301 or 69.50.303 who manufactures, distributes, or possesses an imitation controlled substance for use as a placebo or other use by a registered practitioner, as defined in RCW 69.50.101</w:t>
      </w:r>
      <w:r>
        <w:t>((</w:t>
      </w:r>
      <w:r>
        <w:rPr>
          <w:strike/>
        </w:rPr>
        <w:t xml:space="preserve">(t)</w:t>
      </w:r>
      <w:r>
        <w:t>))</w:t>
      </w:r>
      <w:r>
        <w:rPr/>
        <w:t xml:space="preserve">, in the course of professional practice or research.</w:t>
      </w:r>
    </w:p>
    <w:p>
      <w:pPr>
        <w:spacing w:before="0" w:after="0" w:line="408" w:lineRule="exact"/>
        <w:ind w:left="0" w:right="0" w:firstLine="576"/>
        <w:jc w:val="left"/>
      </w:pPr>
      <w:r>
        <w:rPr/>
        <w:t xml:space="preserve">(5) No prosecution under this chapter shall be dismissed solely by reason of the fact that the dosage units were contained in a bottle or other container with a label accurately describing the ingredients of the imitation controlled substance dosage units. The good faith of the defendant shall be an issue of fact for the trier of fact.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540</w:t>
      </w:r>
      <w:r>
        <w:rPr/>
        <w:t xml:space="preserve"> and 2019 c 406 s 40 are each amended to read as follows:</w:t>
      </w:r>
    </w:p>
    <w:p>
      <w:pPr>
        <w:spacing w:before="0" w:after="0" w:line="408" w:lineRule="exact"/>
        <w:ind w:left="0" w:right="0" w:firstLine="576"/>
        <w:jc w:val="left"/>
      </w:pPr>
      <w:r>
        <w:rPr/>
        <w:t xml:space="preserve">In addition to administrative responsibilities assigned in this chapter, the office shall administer the programs set forth in the following statutes: RCW 28A.600.100 through 28A.600.150 (Washington scholars); chapter 28B.85 RCW (degree-granting institutions); chapter 28B.92 RCW (Washington college grant); chapter 28B.12 RCW (work-study); RCW 28B.15.543 (grants for undergraduate coursework); RCW 28B.15.760 through 28B.15.766 (math and science loans); RCW 28B.15.100 (reciprocity agreement); RCW 28B.15.730 through 28B.15.734 (Oregon reciprocity); RCW 28B.15.750 and 28B.15.752 (Idaho reciprocity); RCW 28B.15.756 (British Columbia reciprocity); chapter 28B.101 RCW (educational opportunity grant); chapter 28B.102 RCW (</w:t>
      </w:r>
      <w:r>
        <w:t>((</w:t>
      </w:r>
      <w:r>
        <w:rPr>
          <w:strike/>
        </w:rPr>
        <w:t xml:space="preserve">future teachers</w:t>
      </w:r>
      <w:r>
        <w:t>))</w:t>
      </w:r>
      <w:r>
        <w:rPr/>
        <w:t xml:space="preserve"> </w:t>
      </w:r>
      <w:r>
        <w:rPr>
          <w:u w:val="single"/>
        </w:rPr>
        <w:t xml:space="preserve">educator</w:t>
      </w:r>
      <w:r>
        <w:rPr/>
        <w:t xml:space="preserve"> conditional scholarship </w:t>
      </w:r>
      <w:r>
        <w:rPr>
          <w:u w:val="single"/>
        </w:rPr>
        <w:t xml:space="preserve">and repayment programs</w:t>
      </w:r>
      <w:r>
        <w:rPr/>
        <w:t xml:space="preserve">); chapter 28B.108 RCW (American Indian endowed scholarship); chapter 28B.109 RCW (Washington international exchange scholarship); chapter 28B.115 RCW (health professional conditional scholarship); and chapter 28B.133 RCW (gaining independence for students with dependents).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19, 2020.</w:t>
      </w:r>
    </w:p>
    <w:p>
      <w:pPr>
        <w:spacing w:before="0" w:after="0" w:line="408" w:lineRule="exact"/>
        <w:ind w:left="0" w:right="0" w:firstLine="576"/>
        <w:jc w:val="left"/>
      </w:pPr>
      <w:r>
        <w:rPr/>
        <w:t xml:space="preserve">Passed by the Senate March 3, 2020.</w:t>
      </w:r>
    </w:p>
    <w:p>
      <w:pPr>
        <w:spacing w:before="0" w:after="0" w:line="408" w:lineRule="exact"/>
        <w:ind w:left="0" w:right="0" w:firstLine="576"/>
        <w:jc w:val="left"/>
      </w:pPr>
      <w:r>
        <w:rPr/>
        <w:t xml:space="preserve">Approved by the Governor March 18, 2020.</w:t>
      </w:r>
    </w:p>
    <w:p>
      <w:pPr>
        <w:spacing w:before="0" w:after="0" w:line="408" w:lineRule="exact"/>
        <w:ind w:left="0" w:right="0" w:firstLine="576"/>
        <w:jc w:val="left"/>
      </w:pPr>
      <w:r>
        <w:rPr/>
        <w:t xml:space="preserve">Filed in Office of Secretary of State March 18, 2020.</w:t>
      </w:r>
    </w:p>
    <w:sectPr>
      <w:pgNumType w:start="1"/>
      <w:footerReference xmlns:r="http://schemas.openxmlformats.org/officeDocument/2006/relationships" r:id="Ra27113b37f074cd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2205.SL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4714864afa4f5a" /><Relationship Type="http://schemas.openxmlformats.org/officeDocument/2006/relationships/footer" Target="/word/footer1.xml" Id="Ra27113b37f074cda" /></Relationships>
</file>